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88R26056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801</w:t>
      </w:r>
    </w:p>
    <w:p w:rsidR="003F3435" w:rsidRDefault="0032493E">
      <w:pPr>
        <w:ind w:firstLine="720"/>
        <w:jc w:val="both"/>
      </w:pPr>
      <w:r>
        <w:t xml:space="preserve">(Longoria)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801:</w:t>
      </w: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C.S.S.B.</w:t>
      </w:r>
      <w:r xml:space="preserve">
        <w:t> </w:t>
      </w:r>
      <w:r>
        <w:t xml:space="preserve">No.</w:t>
      </w:r>
      <w:r xml:space="preserve">
        <w:t> </w:t>
      </w:r>
      <w:r>
        <w:t xml:space="preserve">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 recorded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