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88R4436 JES-F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award of compensatory damages caused by certain delays under governmental construction contracts.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2252, Government Code, is amended by adding Section 2252.909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2252.909.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OF COMPENSATORY DAMAGES CAUSED BY GOVERNMENTAL DELAYS IN CONSTRUCTION CONTRACTS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"Contractor" means a person engaged in the business of developing, constructing, fabricating, repairing, altering, or remodeling improvements to real property.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"Governmental entity" means: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municipality, county, public school district, or special-purpose district or authority;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district, county, or justice of the peace court;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board, commission, department, office, or other agency in the executive branch of state government, including an institution of higher education as defined by Section</w:t>
      </w:r>
      <w:r>
        <w:rPr>
          <w:u w:val="single"/>
        </w:rPr>
        <w:t xml:space="preserve"> </w:t>
      </w:r>
      <w:r>
        <w:rPr>
          <w:u w:val="single"/>
        </w:rPr>
        <w:t xml:space="preserve">61.003, Education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legislature or a legislative agency;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Supreme Court of Texas, the Texas Court of Criminal Appeals, a court of appeals, or the State Bar of Texas or another judicial agency having statewide jurisdiction.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construction contract between a governmental entity and a contractor may not prohibit or limit the award of compensatory damages to the contractor for a delay caused solely by the governmental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waived.  A purported waiver of this section in violation of this subsection is void.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2252.909, Government Code, as added by this Act, applies only to a construction contract entered into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