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88R6931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804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student loan repayment assistance for certain mental health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w:t>
      </w:r>
      <w:r>
        <w:rPr>
          <w:u w:val="single"/>
        </w:rPr>
        <w:t xml:space="preserve">or (b)</w:t>
      </w:r>
      <w:r>
        <w:t xml:space="preserve">, for a licensed physician to be eligible to receive repayment assistance under this subchapter after the physician's third consecutive year of practice described under Subsection (a)(2) </w:t>
      </w:r>
      <w:r>
        <w:rPr>
          <w:u w:val="single"/>
        </w:rPr>
        <w:t xml:space="preserve">or (b)(3), as applicable</w:t>
      </w:r>
      <w:r>
        <w:t xml:space="preserve">,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61.603, Education Code, applies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