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Hinojosa</w:t>
      </w:r>
      <w:r xml:space="preserve">
        <w:tab wTab="150" tlc="none" cTlc="0"/>
      </w:r>
      <w:r>
        <w:t xml:space="preserve">S.B.</w:t>
      </w:r>
      <w:r xml:space="preserve">
        <w:t> </w:t>
      </w:r>
      <w:r>
        <w:t xml:space="preserve">No.</w:t>
      </w:r>
      <w:r xml:space="preserve">
        <w:t> </w:t>
      </w:r>
      <w:r>
        <w:t xml:space="preserve">806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jc w:val="center"/>
      </w:pPr>
      <w:r>
        <w:t xml:space="preserve">SUBCHAPTER I. </w:t>
      </w:r>
      <w:r>
        <w:rPr>
          <w:u w:val="single"/>
        </w:rPr>
        <w:t xml:space="preserve">PEACE OFFICER AND</w:t>
      </w:r>
      <w:r>
        <w:t xml:space="preserve"> [</w:t>
      </w:r>
      <w:r>
        <w:rPr>
          <w:strike/>
        </w:rPr>
        <w:t xml:space="preserve">REQUIRED NOTIFICATIONS BY</w:t>
      </w:r>
      <w:r>
        <w:t xml:space="preserve">]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 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r>
        <w:t xml:space="preserve"> </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1440"/>
        <w:jc w:val="both"/>
      </w:pPr>
      <w:r>
        <w:rPr>
          <w:u w:val="single"/>
        </w:rPr>
        <w:t xml:space="preserve">"(A) request an order for emergency protection to be issued by a magistrate; and</w:t>
      </w:r>
    </w:p>
    <w:p w:rsidR="003F3435" w:rsidRDefault="0032493E">
      <w:pPr>
        <w:spacing w:line="480" w:lineRule="auto"/>
        <w:ind w:firstLine="144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