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88R2864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808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public schools as polling place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43.031,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building selected for a polling place shall be a public building if practicable. </w:t>
      </w:r>
      <w:r>
        <w:t xml:space="preserve"> </w:t>
      </w:r>
      <w:r>
        <w:rPr>
          <w:u w:val="single"/>
        </w:rPr>
        <w:t xml:space="preserve">Except as provided by Subsection (f), the</w:t>
      </w:r>
      <w:r>
        <w:t xml:space="preserve"> [</w:t>
      </w:r>
      <w:r>
        <w:rPr>
          <w:strike/>
        </w:rPr>
        <w:t xml:space="preserve">The</w:t>
      </w:r>
      <w:r>
        <w:t xml:space="preserve">] entity that owns or controls a public building shall make the building available for use as a polling place in any election that covers territory in which the building is located. </w:t>
      </w:r>
      <w:r>
        <w:t xml:space="preserve"> </w:t>
      </w:r>
      <w:r>
        <w:t xml:space="preserve">If more than one authority requests the use of the building for the same day and simultaneous use is impracticable, the entity that owns or controls the building shall determine which authority may use the building.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public building selected for a polling place under this section is located on a school campus and the board of trustees of the school district determines that the use of that building during school hours would conflict with an applicable campus security policy, the board is not required to make the building available for use as a polling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