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Blanco</w:t>
      </w:r>
      <w:r xml:space="preserve">
        <w:tab wTab="150" tlc="none" cTlc="0"/>
      </w:r>
      <w:r>
        <w:t xml:space="preserve">S.B.</w:t>
      </w:r>
      <w:r xml:space="preserve">
        <w:t> </w:t>
      </w:r>
      <w:r>
        <w:t xml:space="preserve">No.</w:t>
      </w:r>
      <w:r xml:space="preserve">
        <w:t> </w:t>
      </w:r>
      <w:r>
        <w:t xml:space="preserve">812</w:t>
      </w:r>
    </w:p>
    <w:p w:rsidR="003F3435" w:rsidRDefault="0032493E">
      <w:pPr>
        <w:jc w:val="both"/>
      </w:pPr>
      <w:r xml:space="preserve">
        <w:t> </w:t>
      </w:r>
      <w:r xml:space="preserve">
        <w:t> </w:t>
      </w:r>
      <w:r xml:space="preserve">
        <w:t> </w:t>
      </w:r>
      <w:r xml:space="preserve">
        <w:t> </w:t>
      </w:r>
      <w:r xml:space="preserve">
        <w:t> </w:t>
      </w:r>
      <w:r>
        <w:t xml:space="preserve">Hinojosa</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handler and food manager certifications, and food service training or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related to food allergens that is inconsistent with or exceeds the requirements of this section or Chapter 438.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438.0431(b),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rPr>
          <w:u w:val="single"/>
        </w:rPr>
        <w:t xml:space="preserve">The course curriculum must include the food allergen awareness information described by Section 437.027(b).</w:t>
      </w:r>
      <w:r>
        <w:t xml:space="preserve"> </w:t>
      </w:r>
      <w:r>
        <w:t xml:space="preserve">The course length may not exceed two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 </w:t>
      </w:r>
      <w:r>
        <w:t xml:space="preserve"> </w:t>
      </w:r>
      <w:r>
        <w:rPr>
          <w:u w:val="single"/>
        </w:rPr>
        <w:t xml:space="preserve">(a)</w:t>
      </w:r>
      <w:r xml:space="preserve">
        <w:t> </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438, Health and Safety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438.201.</w:t>
      </w:r>
      <w:r>
        <w:rPr>
          <w:u w:val="single"/>
        </w:rPr>
        <w:t xml:space="preserve"> </w:t>
      </w:r>
      <w:r>
        <w:rPr>
          <w:u w:val="single"/>
        </w:rPr>
        <w:t xml:space="preserve"> </w:t>
      </w:r>
      <w:r>
        <w:rPr>
          <w:u w:val="single"/>
        </w:rPr>
        <w:t xml:space="preserve">NO PRIVATE CAUSE OF ACTION.  The provisions of this chapter related to food allergens do not create a private cause of action or change any common law or statutory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438.202.</w:t>
      </w:r>
      <w:r>
        <w:rPr>
          <w:u w:val="single"/>
        </w:rPr>
        <w:t xml:space="preserve"> </w:t>
      </w:r>
      <w:r>
        <w:rPr>
          <w:u w:val="single"/>
        </w:rPr>
        <w:t xml:space="preserve"> </w:t>
      </w:r>
      <w:r>
        <w:rPr>
          <w:u w:val="single"/>
        </w:rPr>
        <w:t xml:space="preserve">CERTAIN REGULATIONS PROHIBITED.  Notwithstanding any other law, a county, municipality, or public health district may not adopt or enforce an order, ordinance, rule, or other measure related to food allergens that is inconsistent with or exceeds the requirements of this chapter or Section 437.027.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accreditation requirements and course curriculum as required by Sections 438.043 and 438.0431,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food manager or food handler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