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812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food allergen awareness in food service establishments, food handler and food manager certifications, and food service training or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Sergio Lopez Food Allergy Awareness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437, Health and Safety Code, is amended by adding Section 437.027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FOOD ALLERGEN AWARENESS POSTER.  (a)  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individuals with expertise and knowledge regarding food allergies to determine the form and content of the poster;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sample poster on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an allergic reaction to a food allergen;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symptoms of an allergic reaction;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major food allergens, as determined by federal law and regulations of the United States Food and Drug Administration;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for preventing an allergic reaction;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appropriate responses for assisting an individual who is having an allergic reaction.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county, municipality, or public health district may not adopt or enforce an order, ordinance, rule, or other measure related to food allergens that is inconsistent with or exceeds the requirements of this section or Chapter 438.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438.043(a),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w:t>
      </w:r>
      <w:r>
        <w:rPr>
          <w:u w:val="single"/>
        </w:rPr>
        <w:t xml:space="preserve">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food allergen awareness information described by Section 437.027(b);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438.0431(b),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by rule define the basic food safety training or education required to be included in a course curriculum.</w:t>
      </w:r>
      <w:r xml:space="preserve">
        <w:t> </w:t>
      </w:r>
      <w:r xml:space="preserve">
        <w:t> </w:t>
      </w:r>
      <w:r>
        <w:rPr>
          <w:u w:val="single"/>
        </w:rPr>
        <w:t xml:space="preserve">The course curriculum must include the food allergen awareness information described by Section 437.027(b).</w:t>
      </w:r>
      <w:r>
        <w:t xml:space="preserve"> </w:t>
      </w:r>
      <w:r>
        <w:t xml:space="preserve">The course length may not exceed two hours.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438.103, Health and Safety Code, is amended to read as follows:</w:t>
      </w:r>
    </w:p>
    <w:p w:rsidR="003F3435" w:rsidRDefault="0032493E">
      <w:pPr>
        <w:spacing w:line="480" w:lineRule="auto"/>
        <w:ind w:firstLine="720"/>
        <w:jc w:val="both"/>
      </w:pPr>
      <w:r>
        <w:t xml:space="preserve">Sec.</w:t>
      </w:r>
      <w:r xml:space="preserve">
        <w:t> </w:t>
      </w:r>
      <w:r>
        <w:t xml:space="preserve">438.103.</w:t>
      </w:r>
      <w:r xml:space="preserve">
        <w:t> </w:t>
      </w:r>
      <w:r xml:space="preserve">
        <w:t> </w:t>
      </w:r>
      <w:r>
        <w:t xml:space="preserve">CERTIFICATION AND RENEWAL OF CERTIFICATION;</w:t>
      </w:r>
      <w:r xml:space="preserve">
        <w:t> </w:t>
      </w:r>
      <w:r xml:space="preserve">
        <w:t> </w:t>
      </w:r>
      <w:r>
        <w:t xml:space="preserve">EXAMINATION REQUIRED. </w:t>
      </w:r>
      <w:r>
        <w:t xml:space="preserve"> </w:t>
      </w:r>
      <w:r>
        <w:rPr>
          <w:u w:val="single"/>
        </w:rPr>
        <w:t xml:space="preserve">(a)</w:t>
      </w:r>
      <w:r xml:space="preserve">
        <w:t> </w:t>
      </w:r>
      <w:r xml:space="preserve">
        <w:t>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state-approved examination for issuance or renewal of a food manager certificate must test an applicant on the food allergen awareness information described by Section 437.027(b).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438, Health and Safety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438.201.</w:t>
      </w:r>
      <w:r>
        <w:rPr>
          <w:u w:val="single"/>
        </w:rPr>
        <w:t xml:space="preserve"> </w:t>
      </w:r>
      <w:r>
        <w:rPr>
          <w:u w:val="single"/>
        </w:rPr>
        <w:t xml:space="preserve"> </w:t>
      </w:r>
      <w:r>
        <w:rPr>
          <w:u w:val="single"/>
        </w:rPr>
        <w:t xml:space="preserve">NO PRIVATE CAUSE OF ACTION.  The provisions of this chapter related to food allergens do not create a private cause of action or change any common law or statutory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438.202.</w:t>
      </w:r>
      <w:r>
        <w:rPr>
          <w:u w:val="single"/>
        </w:rPr>
        <w:t xml:space="preserve"> </w:t>
      </w:r>
      <w:r>
        <w:rPr>
          <w:u w:val="single"/>
        </w:rPr>
        <w:t xml:space="preserve"> </w:t>
      </w:r>
      <w:r>
        <w:rPr>
          <w:u w:val="single"/>
        </w:rPr>
        <w:t xml:space="preserve">CERTAIN REGULATIONS PROHIBITED.  Notwithstanding any other law, a county, municipality, or public health district may not adopt or enforce an order, ordinance, rule, or other measure related to food allergens that is inconsistent with or exceeds the requirements of this chapter or Section 437.027.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w:t>
      </w:r>
    </w:p>
    <w:p w:rsidR="003F3435" w:rsidRDefault="0032493E">
      <w:pPr>
        <w:spacing w:line="480" w:lineRule="auto"/>
        <w:ind w:firstLine="1440"/>
        <w:jc w:val="both"/>
      </w:pPr>
      <w:r>
        <w:t xml:space="preserve">(1)</w:t>
      </w:r>
      <w:r xml:space="preserve">
        <w:t> </w:t>
      </w:r>
      <w:r xml:space="preserve">
        <w:t> </w:t>
      </w:r>
      <w:r>
        <w:t xml:space="preserve">the Department of State Health Services shall determine the form and content of the poster and post the sample poster on the department's Internet website as required by Section 437.027,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Department of State Health Services shall update the education or training program accreditation requirements and course curriculum as required by Sections 438.043 and 438.0431, Health and Safety Code, as amended by this Act;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food manager or food handler certificate issued or renewed on or after September 1, 2024. </w:t>
      </w:r>
      <w:r>
        <w:t xml:space="preserve"> </w:t>
      </w:r>
      <w:r>
        <w:t xml:space="preserve">A certificate issued before that date is covered by the law in effect when the certificate was issued,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Section 437.027, Health and Safety Code, as added by this Act, a food service establishment is not required to comply with that section before September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812 passed the Senate on April</w:t>
      </w:r>
      <w:r xml:space="preserve">
        <w:t> </w:t>
      </w:r>
      <w:r>
        <w:t xml:space="preserve">6,</w:t>
      </w:r>
      <w:r xml:space="preserve">
        <w:t> </w:t>
      </w:r>
      <w:r>
        <w:t xml:space="preserve">2023, by the following vote:</w:t>
      </w:r>
      <w:r xml:space="preserve">
        <w:t> </w:t>
      </w:r>
      <w:r xml:space="preserve">
        <w:t> </w:t>
      </w:r>
      <w:r>
        <w:t xml:space="preserve">Yeas</w:t>
      </w:r>
      <w:r xml:space="preserve">
        <w:t> </w:t>
      </w:r>
      <w:r>
        <w:t xml:space="preserve">26, Nays</w:t>
      </w:r>
      <w:r xml:space="preserve">
        <w:t> </w:t>
      </w:r>
      <w:r>
        <w:t xml:space="preserve">5.</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812 passed the House on May</w:t>
      </w:r>
      <w:r xml:space="preserve">
        <w:t> </w:t>
      </w:r>
      <w:r>
        <w:t xml:space="preserve">24,</w:t>
      </w:r>
      <w:r xml:space="preserve">
        <w:t> </w:t>
      </w:r>
      <w:r>
        <w:t xml:space="preserve">2023, by the following vote:</w:t>
      </w:r>
      <w:r xml:space="preserve">
        <w:t> </w:t>
      </w:r>
      <w:r xml:space="preserve">
        <w:t> </w:t>
      </w:r>
      <w:r>
        <w:t xml:space="preserve">Yeas</w:t>
      </w:r>
      <w:r xml:space="preserve">
        <w:t> </w:t>
      </w:r>
      <w:r>
        <w:t xml:space="preserve">95, Nays</w:t>
      </w:r>
      <w:r xml:space="preserve">
        <w:t> </w:t>
      </w:r>
      <w:r>
        <w:t xml:space="preserve">49,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