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2023S0086-1  02/02/23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Perry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819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enforcement of the rights of crime victims.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56A.051, Code of Criminal Procedure, is amended by adding Subsections (d), (e), (f), and (g)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victim, guardian of a victim, or close relative of a deceased victim may assert and seek enforcement of any right granted by this subchapter, either orally or in writing.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representing the state or an attorney representing a victim, guardian of a victim, or close relative of a deceased victim may assert a right granted by this subchapter to the victim, guardian, or relative, or request enforcement of the right, by filing a motion, petition for a writ of mandamus, or action for injunctive or declaratory relief in a trial or appellate court with jurisdiction over the case.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court determines, after a hearing at which all parties have an opportunity to testify, that a right of a victim, guardian of a victim, or close relative of a deceased victim has been violated, the court shall order that the victim, guardian, or relative be provided the right to which the victim, guardian, or relative was entitled.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remedy ordered under Subsection (f) may not change the: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verdict;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sentence imposed;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terms of an accepted plea bargain agreement;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outcome of a parole hearing.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819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