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88R6619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823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suspension of a county elections administrator.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31.037, Election Code, is amended to read as follows:</w:t>
      </w:r>
    </w:p>
    <w:p w:rsidR="003F3435" w:rsidRDefault="0032493E">
      <w:pPr>
        <w:spacing w:line="480" w:lineRule="auto"/>
        <w:ind w:firstLine="720"/>
        <w:jc w:val="both"/>
      </w:pPr>
      <w:r>
        <w:t xml:space="preserve">Sec.</w:t>
      </w:r>
      <w:r xml:space="preserve">
        <w:t> </w:t>
      </w:r>
      <w:r>
        <w:t xml:space="preserve">31.037.</w:t>
      </w:r>
      <w:r xml:space="preserve">
        <w:t> </w:t>
      </w:r>
      <w:r xml:space="preserve">
        <w:t> </w:t>
      </w:r>
      <w:r>
        <w:t xml:space="preserve">SUSPENSION OR TERMINATION OF EMPLOYMENT. </w:t>
      </w:r>
      <w:r>
        <w:t xml:space="preserve"> </w:t>
      </w:r>
      <w:r>
        <w:rPr>
          <w:u w:val="single"/>
        </w:rPr>
        <w:t xml:space="preserve">(a)</w:t>
      </w:r>
      <w:r>
        <w:t xml:space="preserve"> </w:t>
      </w:r>
      <w:r>
        <w:t xml:space="preserve"> </w:t>
      </w:r>
      <w:r>
        <w:t xml:space="preserve">The employment of the county elections administrator may be suspended, with or without pay, or terminated at any time for good and sufficient cause on the four-fifths vote of the county election commission and approval of that action by a majority vote of the commissioners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may enter a written order to suspend the employment of a county elections administrator at any time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administrative election complaint is filed with the secretary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secretary of state has good cause to believe that a recurring pattern of problems with election administration exists in the county served by the administrator, including 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malfunction of voting system equipment;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unfair distribution of election supplies;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errors in tabulation of results;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delays in reporting election returns;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discovery of voted ballots after the polls close.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31.038, Election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a</w:t>
      </w:r>
      <w:r>
        <w:t xml:space="preserve"> [</w:t>
      </w:r>
      <w:r>
        <w:rPr>
          <w:strike/>
        </w:rPr>
        <w:t xml:space="preserve">A</w:t>
      </w:r>
      <w:r>
        <w:t xml:space="preserve">] vacancy in the position of county elections administrator is filled by appointment of the county election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vacancy created by the suspension of a county elections administrator under Section 31.037(b) is filled by appointment of the secretary of state.  An elections administrator appointed by the secretary of state under this subsection serves until the secretary determines that the recurring pattern of problems with election administration are rectified.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