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88R6287 MPF-F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submitting certain recount petitions.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212.028, Election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petition for an initial recount must be submitted by 5 p.m. of the </w:t>
      </w:r>
      <w:r>
        <w:rPr>
          <w:u w:val="single"/>
        </w:rPr>
        <w:t xml:space="preserve">third business</w:t>
      </w:r>
      <w:r>
        <w:t xml:space="preserve"> [</w:t>
      </w:r>
      <w:r>
        <w:rPr>
          <w:strike/>
        </w:rPr>
        <w:t xml:space="preserve">second</w:t>
      </w:r>
      <w:r>
        <w:t xml:space="preserve">] day after the date the canvassing authority to whose presiding officer the petition must be submitted completes its canvass of the original election returns.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deadline for submitting a petition for an initial recount falls on a Saturday, Sunday, or legal state holiday, the deadline is extended to 10 a.m. of the next regular business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212.083,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212.083.</w:t>
      </w:r>
      <w:r xml:space="preserve">
        <w:t> </w:t>
      </w:r>
      <w:r xml:space="preserve">
        <w:t> </w:t>
      </w:r>
      <w:r>
        <w:t xml:space="preserve">DEADLINE FOR SUBMITTING PETITION. </w:t>
      </w:r>
      <w:r>
        <w:t xml:space="preserve"> </w:t>
      </w:r>
      <w:r>
        <w:t xml:space="preserve">The deadline for submitting a recount petition under this subchapter is 2 p.m. of the </w:t>
      </w:r>
      <w:r>
        <w:rPr>
          <w:u w:val="single"/>
        </w:rPr>
        <w:t xml:space="preserve">second</w:t>
      </w:r>
      <w:r>
        <w:t xml:space="preserve"> [</w:t>
      </w:r>
      <w:r>
        <w:rPr>
          <w:strike/>
        </w:rPr>
        <w:t xml:space="preserve">first</w:t>
      </w:r>
      <w:r>
        <w:t xml:space="preserve">] day after the date of the local canvass.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