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88R8767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regarding a parent's access to the health records of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181.102,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covered entity that restricts through an electronic health records system a parent's access to the electronic health records of a child who is 13 years of age or older must notify the parent in writing that the parent may access the child's records by contacting the covered entity.  The covered entity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notification every six months;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notification the telephone number, e-mail address, and mailing address of the division of the covered entity that maintains the records.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