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88R4366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consideration by insurers of certain criteria for ratemaking.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Insurance Code, is amended by adding Chapter 565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565. </w:t>
      </w:r>
      <w:r>
        <w:rPr>
          <w:u w:val="single"/>
        </w:rPr>
        <w:t xml:space="preserve"> </w:t>
      </w:r>
      <w:r>
        <w:rPr>
          <w:u w:val="single"/>
        </w:rPr>
        <w:t xml:space="preserve">PROHIBITED RATEMAKING CRITERIA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565.001.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"insurer" means an insurance company or other entity authorized to engage in the business of insurance in this state.  The term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stock or mutual property and casualty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reciprocal or interinsurance exchange;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legal services corporation;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farm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risk retention group;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insurer writing a line of insurance regulated by Title 10;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life, health, and accident insurance companies regulated by the department,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stock or mutual life, health, or accident insurance company;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hospital, medical, or dental service corporation, including a group hospital service corporation operating under Chapter 842;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565.002.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CRITERIA.  An insurer may not consider the following criteria when establishing rates: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customer's environmental, social, and governance score that is based on measuring a customer's exposure to long-term environmental, social, and governance risks;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customer's consideration of diversity, equity, and inclusion factors.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565.002, Insurance Code, as added by this Act, applies only to a rate for an insurance policy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