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88R3245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from ad valorem taxation of certain royalty interests owned by a charitable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11.18(a),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organization that qualifies as a charitable organization as provided by this section is entitled to an exemption from taxation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buildings and tangible personal property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are owned by the charitable organization;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permitted by Subsection (b), are used exclusively by qualified charitable organizations;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real property owned by the charitable organization consisting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incomplete improvement that: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under active construction or other physical preparation;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is designed and intended to be used exclusively by qualified charitable organizations;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land on which the incomplete improvement is located that will be reasonably necessary for the use of the improvement by qualified charitable organizations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royalty interest, as defined by Section 201.001,  owned by the organization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