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of consumer debt incurred as a result of identity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D, Chapter 392, Finance Code, is amended by adding Section 392.308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392.308.</w:t>
      </w:r>
      <w:r>
        <w:rPr>
          <w:u w:val="single"/>
        </w:rPr>
        <w:t xml:space="preserve"> </w:t>
      </w:r>
      <w:r>
        <w:rPr>
          <w:u w:val="single"/>
        </w:rPr>
        <w:t xml:space="preserve"> </w:t>
      </w:r>
      <w:r>
        <w:rPr>
          <w:u w:val="single"/>
        </w:rPr>
        <w:t xml:space="preserve">CONSUMER VICTIM OF IDENTITY THEFT.</w:t>
      </w:r>
      <w:r>
        <w:rPr>
          <w:u w:val="single"/>
        </w:rPr>
        <w:t xml:space="preserve"> </w:t>
      </w:r>
      <w:r>
        <w:rPr>
          <w:u w:val="single"/>
        </w:rPr>
        <w:t xml:space="preserve">(a)</w:t>
      </w:r>
      <w:r>
        <w:rPr>
          <w:u w:val="single"/>
        </w:rPr>
        <w:t xml:space="preserve"> </w:t>
      </w:r>
      <w:r>
        <w:rPr>
          <w:u w:val="single"/>
        </w:rPr>
        <w:t xml:space="preserve">For the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"Identity theft"</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Section 521.051, Business &amp; Commerce Code, or a substantially similar federal law or law in another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offense described by Section 32.51, Penal Code, or a substantially similar federal law or law in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w:t>
      </w:r>
      <w:r>
        <w:rPr>
          <w:u w:val="single"/>
        </w:rPr>
        <w:t xml:space="preserve"> </w:t>
      </w:r>
      <w:r>
        <w:rPr>
          <w:u w:val="single"/>
        </w:rPr>
        <w:t xml:space="preserve">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"Vulnerable adult"</w:t>
      </w:r>
      <w:r>
        <w:rPr>
          <w:u w:val="single"/>
        </w:rPr>
        <w:t xml:space="preserve"> </w:t>
      </w:r>
      <w:r>
        <w:rPr>
          <w:u w:val="single"/>
        </w:rPr>
        <w:t xml:space="preserve">has the meaning assigned by Section 281.001(5).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human trafficking"</w:t>
      </w:r>
      <w:r>
        <w:rPr>
          <w:u w:val="single"/>
        </w:rPr>
        <w:t xml:space="preserve"> </w:t>
      </w:r>
      <w:r>
        <w:rPr>
          <w:u w:val="single"/>
        </w:rPr>
        <w:t xml:space="preserve">is a victim of an offense under Section 20A.02,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creditor, debt collector, or third-party debt collector must not engage in conduct prohibited by Subsection</w:t>
      </w:r>
      <w:r>
        <w:rPr>
          <w:u w:val="single"/>
        </w:rPr>
        <w:t xml:space="preserve"> </w:t>
      </w:r>
      <w:r>
        <w:rPr>
          <w:u w:val="single"/>
        </w:rPr>
        <w:t xml:space="preserve"> </w:t>
      </w:r>
      <w:r>
        <w:rPr>
          <w:u w:val="single"/>
        </w:rPr>
        <w:t xml:space="preserve">(c)</w:t>
      </w:r>
      <w:r>
        <w:rPr>
          <w:u w:val="single"/>
        </w:rPr>
        <w:t xml:space="preserve"> </w:t>
      </w:r>
      <w:r>
        <w:rPr>
          <w:u w:val="single"/>
        </w:rPr>
        <w:t xml:space="preserve"> </w:t>
      </w:r>
      <w:r>
        <w:rPr>
          <w:u w:val="single"/>
        </w:rPr>
        <w:t xml:space="preserve"> </w:t>
      </w:r>
      <w:r>
        <w:rPr>
          <w:u w:val="single"/>
        </w:rPr>
        <w:t xml:space="preserve">if the consumer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criminal complaint alleging the commission of an offense under Section 32.51, Penal Code, or a substantially similar federal law or law in another state, for which the consumer was a victim accompanied by a statement identifying the consumer debt or portion of consumer debt that is the result of identity theft;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order issued under Section 521.103, Business &amp; Commerce Code, or a substantially similar federal law or law in another state, declaring the consumer a victim of identity theft;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victims of family violence, vulnerable adults, or victims of human trafficking, an affidavit or unsworn declaration conforming with Section 132.001, Civil Practices and Remedies Code that is accompanied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that the consumer is a victim of identify theft;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verifying the consumer's identity, which may include, but is not limited to a copy of the consumer's government issued identification, a driver's license, state issued identification card, or passport;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from the consumer identifying the disputed consumer debt or portion of the consumer debt and detailing the circumstances of the identity theft, including how the consumer debt or the affected portion of the consumer debt was incurred;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Documentation that a person is a victim of family violence, a vulnerable adult, or a victim of human trafficking: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acceptable documentation that a person is a victim of family violence includes one or more of the documents listed in Section 92.016 (b-1), Property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acceptable documentation that a person is a vulnerable adult includes documentation that the person meets the applicable age or disability definitions under Section 281.001 (5).</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acceptable documentation that a person is a victim of human trafficking includes one or more of the documents listed in 12 CFR 1022.142 (b) (6)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provisions in this Chapter, a creditor, debt collector, or third-party debt collector who receives notice that a consumer debt is a result of identity theft from a victim of identity theft in accordance with Subsection (b)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cease collection of the disputed consumer debt or any disputed portion of the consumer debt;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any third-party receiving information about the disputed consumer debt or disputed portion of the consumer debt that the consumer debt or portion of consumer debt is disputed as resulting from identity theft and is </w:t>
      </w:r>
      <w:r>
        <w:rPr>
          <w:u w:val="single"/>
        </w:rPr>
        <w:t xml:space="preserve"> </w:t>
      </w:r>
      <w:r>
        <w:rPr>
          <w:u w:val="single"/>
        </w:rPr>
        <w:t xml:space="preserve">not collectable;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sell or transfer for consideration the disputed consumer debt or the disputed portion of the consumer debt except to the current owner of the consumer debt.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