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88R10353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verification of health benefits by health benefit plan issuers for certain physicians and health 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8, Insurance Code, is amended by adding Chapter 1223 to read as follows:</w:t>
      </w:r>
    </w:p>
    <w:p w:rsidR="003F3435" w:rsidRDefault="0032493E">
      <w:pPr>
        <w:spacing w:line="480" w:lineRule="auto"/>
        <w:jc w:val="center"/>
      </w:pPr>
      <w:r>
        <w:rPr>
          <w:u w:val="single"/>
        </w:rPr>
        <w:t xml:space="preserve">CHAPTER 1223. VERIFICATION OF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1223.001.</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1223.002.</w:t>
      </w:r>
      <w:r>
        <w:rPr>
          <w:u w:val="single"/>
        </w:rPr>
        <w:t xml:space="preserve"> </w:t>
      </w:r>
      <w:r>
        <w:rPr>
          <w:u w:val="single"/>
        </w:rPr>
        <w:t xml:space="preserve"> </w:t>
      </w:r>
      <w:r>
        <w:rPr>
          <w:u w:val="single"/>
        </w:rPr>
        <w:t xml:space="preserve">INTERNET WEBSITE FOR VERIFICATION REQUIRED FOR EMERGENCY PHYSICIANS AND HEALTH CARE PROVIDERS.  A health benefit plan issuer shall maintain and make available a secure system on the issuer's Internet website that allows a physician or health care provider for a hospital or freestanding emergency medical care facility to determine at any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physician's or provider's patient is covered by the issuer's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issuer will pay the physician or provider for the proposed health care service or supply the physician or provider intends to provide to the patient;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deductible, copayment, or coinsurance for which the patient is responsible.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Chapter 1223, Insurance Code, as added by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