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West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867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13,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1,</w:t>
      </w:r>
      <w:r xml:space="preserve">
        <w:t> </w:t>
      </w:r>
      <w:r>
        <w:t xml:space="preserve">2023, read first time and referred to Committee on Health &amp; Human Services; April</w:t>
      </w:r>
      <w:r xml:space="preserve">
        <w:t> </w:t>
      </w:r>
      <w:r>
        <w:t xml:space="preserve">6,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April</w:t>
      </w:r>
      <w:r xml:space="preserve">
        <w:t> </w:t>
      </w:r>
      <w:r>
        <w:t xml:space="preserve">6,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recipients of opioid antagonists under the opioid antagonist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461A.059(c),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executive commissioner may provide opioid antagonists under the program to emergency medical services personnel, first responders, public schools, </w:t>
      </w:r>
      <w:r>
        <w:rPr>
          <w:u w:val="single"/>
        </w:rPr>
        <w:t xml:space="preserve">institutions of higher education as defined by Section 481.134,</w:t>
      </w:r>
      <w:r>
        <w:t xml:space="preserve"> community centers, and other persons likely to be in a position to respond to an opioid overdose.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867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