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869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affecting the parent-child relationship, including the payment and enforcement of support ordered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122.201, Estates Code, is amended to read as follows:</w:t>
      </w:r>
    </w:p>
    <w:p w:rsidR="003F3435" w:rsidRDefault="0032493E">
      <w:pPr>
        <w:spacing w:line="480" w:lineRule="auto"/>
        <w:ind w:firstLine="720"/>
        <w:jc w:val="both"/>
      </w:pPr>
      <w:r>
        <w:t xml:space="preserve">Sec.</w:t>
      </w:r>
      <w:r xml:space="preserve">
        <w:t> </w:t>
      </w:r>
      <w:r>
        <w:t xml:space="preserve">122.201.</w:t>
      </w:r>
      <w:r xml:space="preserve">
        <w:t> </w:t>
      </w:r>
      <w:r xml:space="preserve">
        <w:t> </w:t>
      </w:r>
      <w:r>
        <w:t xml:space="preserve">ASSIGNMENT</w:t>
      </w:r>
      <w:r>
        <w:rPr>
          <w:u w:val="single"/>
        </w:rPr>
        <w:t xml:space="preserve">; WHEN ASSIGNMENT INEFFECTIVE OR LIMITED</w:t>
      </w:r>
      <w:r>
        <w:t xml:space="preserve">. </w:t>
      </w:r>
      <w:r>
        <w:t xml:space="preserve"> </w:t>
      </w:r>
      <w:r>
        <w:rPr>
          <w:u w:val="single"/>
        </w:rPr>
        <w:t xml:space="preserve">(a) </w:t>
      </w:r>
      <w:r>
        <w:rPr>
          <w:u w:val="single"/>
        </w:rPr>
        <w:t xml:space="preserve"> </w:t>
      </w:r>
      <w:r>
        <w:rPr>
          <w:u w:val="single"/>
        </w:rPr>
        <w:t xml:space="preserve">Except as provided by Subsection (b), a</w:t>
      </w:r>
      <w:r>
        <w:t xml:space="preserve"> </w:t>
      </w:r>
      <w:r>
        <w:t xml:space="preserve">[</w:t>
      </w:r>
      <w:r>
        <w:rPr>
          <w:strike/>
        </w:rPr>
        <w:t xml:space="preserve">A</w:t>
      </w:r>
      <w:r>
        <w:t xml:space="preserve">] person who is entitled to receive property or an interest in property from a decedent under a will, by inheritance, or as a beneficiary under a life insurance contract, and does not disclaim the property under Chapter 240, Property Code, may assign the property or interest in property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assignment of property or an interest in property under Subsection (a) by a child support obligor does not take effect to the extent the assigned property or interest in property could be applied to satisfy a support obligation of the obligor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administratively determined as evidence by a certified child support payment record produced by the Title IV-D agency in a Title IV-D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and reduced to judgment as provided by Section 157.263,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(b) applies, the child support obligee to whom child support arrearages are owed may enforce the child support obligation against the obligor as to the assigned property or interest in property by a lien or by any other remedy provided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the personal representative of a decedent's estate has actual notice of a claim that an assignment of property or an interest in property under Subsection (a) does not take effect under Subsection (b), the personal representative is not liable for transferring property pursuant to such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102.0091(b),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party executing the waiver may [</w:t>
      </w:r>
      <w:r>
        <w:rPr>
          <w:strike/>
        </w:rPr>
        <w:t xml:space="preserve">not</w:t>
      </w:r>
      <w:r>
        <w:t xml:space="preserve">] sign the waiver using a digitized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105.006(a), (e),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A final order, other than in a proceeding under Chapter 161 or 162,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w:t>
      </w:r>
      <w:r>
        <w:rPr>
          <w:u w:val="single"/>
        </w:rPr>
        <w:t xml:space="preserve">e-mail address,</w:t>
      </w:r>
      <w:r>
        <w:t xml:space="preserve"> home telephone number, name of employer, address of employment, and work telephone number, except as provided by Subsection (c).</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w:t>
      </w:r>
      <w:r>
        <w:rPr>
          <w:u w:val="single"/>
        </w:rPr>
        <w:t xml:space="preserve"> E-MAIL ADDRESS,</w:t>
      </w:r>
      <w:r>
        <w:t xml:space="preserve"> HOME TELEPHONE NUMBER, NAME OF EMPLOYER, ADDRESS OF EMPLOYMENT, DRIVER'S LICENSE NUMBER, AND WORK TELEPHONE NUMBER. </w:t>
      </w:r>
      <w:r>
        <w:t xml:space="preserve"> </w:t>
      </w:r>
      <w:r>
        <w:t xml:space="preserve">THE PARTY IS ORDERED TO GIVE NOTICE OF AN INTENDED CHANGE IN ANY OF THE REQUIRED INFORMATION TO EACH OTHER PARTY, THE COURT, AND THE STATE CASE REGISTRY ON OR BEFORE THE 60TH DAY BEFORE THE INTENDED CHANGE. </w:t>
      </w:r>
      <w:r>
        <w:t xml:space="preserve">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 </w:t>
      </w:r>
      <w:r>
        <w:t xml:space="preserve">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w:t>
      </w:r>
      <w:r>
        <w:rPr>
          <w:u w:val="single"/>
        </w:rPr>
        <w:t xml:space="preserve">residence address, e-mail address,</w:t>
      </w:r>
      <w:r>
        <w:t xml:space="preserve"> [</w:t>
      </w:r>
      <w:r>
        <w:rPr>
          <w:strike/>
        </w:rPr>
        <w:t xml:space="preserve">residential</w:t>
      </w:r>
      <w:r>
        <w:t xml:space="preserve">] or [</w:t>
      </w:r>
      <w:r>
        <w:rPr>
          <w:strike/>
        </w:rPr>
        <w:t xml:space="preserve">employer</w:t>
      </w:r>
      <w:r>
        <w:t xml:space="preserve">] address </w:t>
      </w:r>
      <w:r>
        <w:rPr>
          <w:u w:val="single"/>
        </w:rPr>
        <w:t xml:space="preserve">of employment</w:t>
      </w:r>
      <w:r>
        <w:t xml:space="preserve"> filed by that party with the court and the state case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105.007(a),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shall comply with the order by giving written notice to each other party of an intended change in the party's current residence address, mailing address, </w:t>
      </w:r>
      <w:r>
        <w:rPr>
          <w:u w:val="single"/>
        </w:rPr>
        <w:t xml:space="preserve">e-mail address,</w:t>
      </w:r>
      <w:r>
        <w:t xml:space="preserve"> home telephone number, name of employer, address of employment, and work telephone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154.132, Family Code, is amended to read as follows:</w:t>
      </w:r>
    </w:p>
    <w:p w:rsidR="003F3435" w:rsidRDefault="0032493E">
      <w:pPr>
        <w:spacing w:line="480" w:lineRule="auto"/>
        <w:ind w:firstLine="720"/>
        <w:jc w:val="both"/>
      </w:pPr>
      <w:r>
        <w:t xml:space="preserve">Sec.</w:t>
      </w:r>
      <w:r xml:space="preserve">
        <w:t> </w:t>
      </w:r>
      <w:r>
        <w:t xml:space="preserve">154.132.</w:t>
      </w:r>
      <w:r xml:space="preserve">
        <w:t> </w:t>
      </w:r>
      <w:r xml:space="preserve">
        <w:t> </w:t>
      </w:r>
      <w:r>
        <w:t xml:space="preserve">APPLICATION OF GUIDELINES TO CHILDREN OF CERTAIN DISABLED OBLIGORS.  </w:t>
      </w:r>
      <w:r>
        <w:rPr>
          <w:u w:val="single"/>
        </w:rPr>
        <w:t xml:space="preserve">(a)</w:t>
      </w:r>
      <w:r>
        <w:t xml:space="preserve"> </w:t>
      </w:r>
      <w:r>
        <w:t xml:space="preserve"> </w:t>
      </w:r>
      <w:r>
        <w:t xml:space="preserve">In applying the child support guidelines for an obligor who has a disability and who is required to pay support for a child who receives </w:t>
      </w:r>
      <w:r>
        <w:rPr>
          <w:u w:val="single"/>
        </w:rPr>
        <w:t xml:space="preserve">periodic</w:t>
      </w:r>
      <w:r>
        <w:t xml:space="preserve">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157.009.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157.263, if a motion [</w:t>
      </w:r>
      <w:r>
        <w:rPr>
          <w:strike/>
        </w:rPr>
        <w:t xml:space="preserve">for enforcement</w:t>
      </w:r>
      <w:r>
        <w:t xml:space="preserve">]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157.009, Family Code, is amended to read as follows:</w:t>
      </w:r>
    </w:p>
    <w:p w:rsidR="003F3435" w:rsidRDefault="0032493E">
      <w:pPr>
        <w:spacing w:line="480" w:lineRule="auto"/>
        <w:ind w:firstLine="720"/>
        <w:jc w:val="both"/>
      </w:pPr>
      <w:r>
        <w:t xml:space="preserve">Sec.</w:t>
      </w:r>
      <w:r xml:space="preserve">
        <w:t> </w:t>
      </w:r>
      <w:r>
        <w:t xml:space="preserve">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w:t>
      </w:r>
      <w:r>
        <w:rPr>
          <w:u w:val="single"/>
        </w:rPr>
        <w:t xml:space="preserve">only</w:t>
      </w:r>
      <w:r>
        <w:t xml:space="preserve"> to any child support arrearage and interest owed by the obligor on behalf of that child at the time the payment is made. </w:t>
      </w:r>
      <w:r>
        <w:t xml:space="preserve"> </w:t>
      </w:r>
      <w:r>
        <w:rPr>
          <w:u w:val="single"/>
        </w:rPr>
        <w:t xml:space="preserve">The credit under this section may not be used to reduce the amount of a periodic child support obligation ordered under Chapter 154 that has not yet accrued.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157.263(a) and (b-3), Family Code, are amended to read as follows:</w:t>
      </w:r>
    </w:p>
    <w:p w:rsidR="003F3435" w:rsidRDefault="0032493E">
      <w:pPr>
        <w:spacing w:line="480" w:lineRule="auto"/>
        <w:ind w:firstLine="720"/>
        <w:jc w:val="both"/>
      </w:pPr>
      <w:r>
        <w:t xml:space="preserve">(a)</w:t>
      </w:r>
      <w:r xml:space="preserve">
        <w:t> </w:t>
      </w:r>
      <w:r xml:space="preserve">
        <w:t> </w:t>
      </w:r>
      <w:r>
        <w:t xml:space="preserve">If a motion [</w:t>
      </w:r>
      <w:r>
        <w:rPr>
          <w:strike/>
        </w:rPr>
        <w:t xml:space="preserve">for enforcement of child support</w:t>
      </w:r>
      <w:r>
        <w:t xml:space="preserve">] requests a money judgment for </w:t>
      </w:r>
      <w:r>
        <w:rPr>
          <w:u w:val="single"/>
        </w:rPr>
        <w:t xml:space="preserve">child support, medical support, or dental support</w:t>
      </w:r>
      <w:r>
        <w:t xml:space="preserve">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(b-3)</w:t>
      </w:r>
      <w:r xml:space="preserve">
        <w:t> </w:t>
      </w:r>
      <w:r xml:space="preserve">
        <w:t> </w:t>
      </w:r>
      <w:r>
        <w:t xml:space="preserve">In rendering a money judgment under this </w:t>
      </w:r>
      <w:r>
        <w:rPr>
          <w:u w:val="single"/>
        </w:rPr>
        <w:t xml:space="preserve">title that includes child support, medical support, or dental support arrearages</w:t>
      </w:r>
      <w:r>
        <w:t xml:space="preserve"> [</w:t>
      </w:r>
      <w:r>
        <w:rPr>
          <w:strike/>
        </w:rPr>
        <w:t xml:space="preserve">section</w:t>
      </w:r>
      <w:r>
        <w:t xml:space="preserve">], the court may not reduce or modify the amount of [</w:t>
      </w:r>
      <w:r>
        <w:rPr>
          <w:strike/>
        </w:rPr>
        <w:t xml:space="preserve">child support, medical support, or dental support</w:t>
      </w:r>
      <w:r>
        <w:t xml:space="preserve">] arrearages but, in confirming the amount of arrearages, may allow a counterclaim or offset as provided by this title.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157.318(a),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Subject to Subsection (d), a</w:t>
      </w:r>
      <w:r>
        <w:t xml:space="preserve">] lien is effective until all current support and child support arrearages, including interest, any costs and reasonable attorney's fees, and any Title IV-D service fees authorized under Section 231.103 for which the obligor is responsible, have been paid or the lien is otherwise released as provided by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160.604(c), Family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If the court lacks</w:t>
      </w:r>
      <w:r>
        <w:t xml:space="preserve"> [</w:t>
      </w:r>
      <w:r>
        <w:rPr>
          <w:strike/>
        </w:rPr>
        <w:t xml:space="preserve">Lack of</w:t>
      </w:r>
      <w:r>
        <w:t xml:space="preserve">] jurisdiction over one individual</w:t>
      </w:r>
      <w:r>
        <w:rPr>
          <w:u w:val="single"/>
        </w:rPr>
        <w:t xml:space="preserve">,</w:t>
      </w:r>
      <w:r>
        <w:t xml:space="preserve"> [</w:t>
      </w:r>
      <w:r>
        <w:rPr>
          <w:strike/>
        </w:rPr>
        <w:t xml:space="preserve">does not preclude</w:t>
      </w:r>
      <w:r>
        <w:t xml:space="preserv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precluded</w:t>
      </w:r>
      <w:r>
        <w:t xml:space="preserve"> from making an adjudication of parentage binding on another individual over whom the court has personal jurisdiction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delay the adjudication described by Subdivision (1) solely due to the lack of jurisdiction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157.318(d), Family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to Section 102.0091(b), Family Code, applies to a waiver of citation executed in a suit affecting the parent-child relationship on or after the effective date of this Act, regardless of whether the suit was filed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Sections 105.006 and 105.007(a), Family Code, apply only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changes in law made by this Act to Sections 154.132 and 157.009, Family Code, apply only to a lump-sum payment received by a child support obligee as a representative payee of a child on or after the effective date of this Act.  A lump-sum payment received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to Sections 157.005(b) and 157.263, Family Code, apply only to a motion requesting a money judgment for child support, medical support, or dental support arrearages that is filed on or after the effective date of this Act. </w:t>
      </w:r>
      <w:r>
        <w:t xml:space="preserve"> </w:t>
      </w:r>
      <w:r>
        <w:t xml:space="preserve">A motion requesting a money judgment for child support, medical support, or dental support arrearages filed before that date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Subject to Subsection (b) of this section, the change in law made by this Act to Section 157.318(a), Family Code, applies to a child support lien on real property regardless of whether the lien notice was filed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lien for which the 10th anniversary of the date on which the last lien notice was filed with the county clerk occurred before the effective date of this Act may be renewed on or after the effective date of this Act in the same manner and with the same effect on priority over other liens as provided by Section 157.318(d), Family Code, as that section existed immediately before the effective date of this Act.  Once the lien is renewed in accordance with this subsection, the lien continues in effect in accordance with Section 157.318, Family Code, as amended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to Section 160.604(c), Family Code, applies to a suit affecting the parent-child relationship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