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88R10543 TJB-D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S.B.</w:t>
      </w:r>
      <w:r xml:space="preserve">
        <w:t> </w:t>
      </w:r>
      <w:r>
        <w:t xml:space="preserve">No.</w:t>
      </w:r>
      <w:r xml:space="preserve">
        <w:t> </w:t>
      </w:r>
      <w:r>
        <w:t xml:space="preserve">871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exemption of inventory from ad valorem taxation.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93.001(2), Business &amp; Commerce Code, is amended to read as follows:</w:t>
      </w:r>
    </w:p>
    <w:p w:rsidR="003F3435" w:rsidRDefault="0032493E">
      <w:pPr>
        <w:spacing w:line="480" w:lineRule="auto"/>
        <w:ind w:firstLine="1440"/>
        <w:jc w:val="both"/>
      </w:pPr>
      <w:r>
        <w:t xml:space="preserve">(2)</w:t>
      </w:r>
      <w:r xml:space="preserve">
        <w:t> </w:t>
      </w:r>
      <w:r xml:space="preserve">
        <w:t> </w:t>
      </w:r>
      <w:r>
        <w:t xml:space="preserve">"Heavy equipment" </w:t>
      </w:r>
      <w:r>
        <w:rPr>
          <w:u w:val="single"/>
        </w:rPr>
        <w:t xml:space="preserve">means self-propelled, self-powered, or pull-type equipment, including farm equipment or a diesel engine, that weighs at least 1,500 pounds and is intended to be used for agricultural, construction, industrial, maritime, mining, or forestry uses.</w:t>
      </w:r>
      <w:r>
        <w:rPr>
          <w:u w:val="single"/>
        </w:rPr>
        <w:t xml:space="preserve"> </w:t>
      </w:r>
      <w:r>
        <w:rPr>
          <w:u w:val="single"/>
        </w:rPr>
        <w:t xml:space="preserve"> </w:t>
      </w:r>
      <w:r>
        <w:rPr>
          <w:u w:val="single"/>
        </w:rPr>
        <w:t xml:space="preserve">The term does not include a motor vehicle that is required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Chapter 501, Transportation Code, to be titled;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Chapter 502, Transportation Code, to be registered</w:t>
      </w:r>
      <w:r>
        <w:t xml:space="preserve"> [</w:t>
      </w:r>
      <w:r>
        <w:rPr>
          <w:strike/>
        </w:rPr>
        <w:t xml:space="preserve">has the meaning assigned by Section 23.1241, Tax Code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6.24(b), Tax Code, is amended to read as follows:</w:t>
      </w:r>
    </w:p>
    <w:p w:rsidR="003F3435" w:rsidRDefault="0032493E">
      <w:pPr>
        <w:spacing w:line="480" w:lineRule="auto"/>
        <w:ind w:firstLine="720"/>
        <w:jc w:val="both"/>
      </w:pPr>
      <w:r>
        <w:t xml:space="preserve">(b)</w:t>
      </w:r>
      <w:r xml:space="preserve">
        <w:t> </w:t>
      </w:r>
      <w:r xml:space="preserve">
        <w:t> </w:t>
      </w:r>
      <w:r>
        <w:t xml:space="preserve">The commissioners court with the approval of the county assessor-collector may contract as provided by the Interlocal Cooperation Act with the governing body of another taxing unit in the county or with the board of directors of the appraisal district for the other </w:t>
      </w:r>
      <w:r>
        <w:rPr>
          <w:u w:val="single"/>
        </w:rPr>
        <w:t xml:space="preserve">taxing</w:t>
      </w:r>
      <w:r>
        <w:t xml:space="preserve"> unit or the district to perform duties relating to the assessment or collection of taxes for the county.</w:t>
      </w:r>
      <w:r xml:space="preserve">
        <w:t> </w:t>
      </w:r>
      <w:r xml:space="preserve">
        <w:t> </w:t>
      </w:r>
      <w:r>
        <w:t xml:space="preserve">If a county contracts to have its taxes assessed and collected by another taxing unit or by the appraisal district, [</w:t>
      </w:r>
      <w:r>
        <w:rPr>
          <w:strike/>
        </w:rPr>
        <w:t xml:space="preserve">except as provided by Subsection (c),</w:t>
      </w:r>
      <w:r>
        <w:t xml:space="preserve">] the contract shall require the other </w:t>
      </w:r>
      <w:r>
        <w:rPr>
          <w:u w:val="single"/>
        </w:rPr>
        <w:t xml:space="preserve">taxing</w:t>
      </w:r>
      <w:r>
        <w:t xml:space="preserve"> unit or the district to assess and collect all taxes the county is required to assess and collect.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11.251(b), (c), (d), and (h), Tax Code, are amended to read as follows:</w:t>
      </w:r>
    </w:p>
    <w:p w:rsidR="003F3435" w:rsidRDefault="0032493E">
      <w:pPr>
        <w:spacing w:line="480" w:lineRule="auto"/>
        <w:ind w:firstLine="720"/>
        <w:jc w:val="both"/>
      </w:pPr>
      <w:r>
        <w:t xml:space="preserve">(b)</w:t>
      </w:r>
      <w:r xml:space="preserve">
        <w:t> </w:t>
      </w:r>
      <w:r xml:space="preserve">
        <w:t> </w:t>
      </w:r>
      <w:r>
        <w:t xml:space="preserve">A person is entitled to an exemption from taxation by a taxing unit of the appraised value of that portion of the person's [</w:t>
      </w:r>
      <w:r>
        <w:rPr>
          <w:strike/>
        </w:rPr>
        <w:t xml:space="preserve">inventory or</w:t>
      </w:r>
      <w:r>
        <w:t xml:space="preserve">] property consisting of freeport goods as determined under this section for the taxing unit.</w:t>
      </w:r>
    </w:p>
    <w:p w:rsidR="003F3435" w:rsidRDefault="0032493E">
      <w:pPr>
        <w:spacing w:line="480" w:lineRule="auto"/>
        <w:ind w:firstLine="720"/>
        <w:jc w:val="both"/>
      </w:pPr>
      <w:r>
        <w:t xml:space="preserve">(c)</w:t>
      </w:r>
      <w:r xml:space="preserve">
        <w:t> </w:t>
      </w:r>
      <w:r xml:space="preserve">
        <w:t> </w:t>
      </w:r>
      <w:r>
        <w:t xml:space="preserve">The exemption provided by Subsection (b) is subtracted from the market value of the [</w:t>
      </w:r>
      <w:r>
        <w:rPr>
          <w:strike/>
        </w:rPr>
        <w:t xml:space="preserve">inventory or</w:t>
      </w:r>
      <w:r>
        <w:t xml:space="preserve">] property [</w:t>
      </w:r>
      <w:r>
        <w:rPr>
          <w:strike/>
        </w:rPr>
        <w:t xml:space="preserve">determined under Section 23.12</w:t>
      </w:r>
      <w:r>
        <w:t xml:space="preserve">] to determine the taxable value of the [</w:t>
      </w:r>
      <w:r>
        <w:rPr>
          <w:strike/>
        </w:rPr>
        <w:t xml:space="preserve">inventory or</w:t>
      </w:r>
      <w:r>
        <w:t xml:space="preserve">] property [</w:t>
      </w:r>
      <w:r>
        <w:rPr>
          <w:strike/>
        </w:rPr>
        <w:t xml:space="preserve">for the taxing unit</w:t>
      </w:r>
      <w:r>
        <w:t xml:space="preserve">].</w:t>
      </w:r>
    </w:p>
    <w:p w:rsidR="003F3435" w:rsidRDefault="0032493E">
      <w:pPr>
        <w:spacing w:line="480" w:lineRule="auto"/>
        <w:ind w:firstLine="720"/>
        <w:jc w:val="both"/>
      </w:pPr>
      <w:r>
        <w:t xml:space="preserve">(d)</w:t>
      </w:r>
      <w:r xml:space="preserve">
        <w:t> </w:t>
      </w:r>
      <w:r xml:space="preserve">
        <w:t> </w:t>
      </w:r>
      <w:r>
        <w:t xml:space="preserve">Except as provided by Subsections (f) and (g), the chief appraiser shall determine the appraised value of freeport goods under this subsection.  The chief appraiser shall determine the percentage of the market value of [</w:t>
      </w:r>
      <w:r>
        <w:rPr>
          <w:strike/>
        </w:rPr>
        <w:t xml:space="preserve">inventory or</w:t>
      </w:r>
      <w:r>
        <w:t xml:space="preserve">] property owned by the property owner in the preceding calendar year that was contributed by freeport goods.  The chief appraiser shall apply that percentage to the market value of the property owner's [</w:t>
      </w:r>
      <w:r>
        <w:rPr>
          <w:strike/>
        </w:rPr>
        <w:t xml:space="preserve">inventory or</w:t>
      </w:r>
      <w:r>
        <w:t xml:space="preserve">] property for the current year to determine the appraised value of freeport goods for the current year.</w:t>
      </w:r>
    </w:p>
    <w:p w:rsidR="003F3435" w:rsidRDefault="0032493E">
      <w:pPr>
        <w:spacing w:line="480" w:lineRule="auto"/>
        <w:ind w:firstLine="720"/>
        <w:jc w:val="both"/>
      </w:pPr>
      <w:r>
        <w:t xml:space="preserve">(h)</w:t>
      </w:r>
      <w:r xml:space="preserve">
        <w:t> </w:t>
      </w:r>
      <w:r xml:space="preserve">
        <w:t> </w:t>
      </w:r>
      <w:r>
        <w:t xml:space="preserve">The chief appraiser by written notice delivered to a property owner who claims an exemption under this section may require the property owner or a person designated in writing by the importer of record to provide copies of [</w:t>
      </w:r>
      <w:r>
        <w:rPr>
          <w:strike/>
        </w:rPr>
        <w:t xml:space="preserve">inventory or</w:t>
      </w:r>
      <w:r>
        <w:t xml:space="preserve">] property records in order to determine the amount and value of freeport goods.  If the property owner or designated person fails to deliver the information requested in the notice before the 31st day after the date the notice is delivered to the property owner or before the date the appraisal review board approves the appraisal records under Section 41.12, whichever is later, the property owner forfeits the right to claim or receive the exemption for that year.  If the property owner or designated person delivers the information requested in the notice before the date the appraisal review board approves the appraisal records but not before the 31st day after the date the notice is delivered to the property owner and the exemption is allowed, the property owner is liable to each taxing unit for a penalty in an amount equal to 10 percent of the difference between the amount of tax imposed by the taxing unit on the [</w:t>
      </w:r>
      <w:r>
        <w:rPr>
          <w:strike/>
        </w:rPr>
        <w:t xml:space="preserve">inventory or</w:t>
      </w:r>
      <w:r>
        <w:t xml:space="preserve">] property and the amount that would otherwise have been imposed.  The chief appraiser shall make an entry on the appraisal records for the [</w:t>
      </w:r>
      <w:r>
        <w:rPr>
          <w:strike/>
        </w:rPr>
        <w:t xml:space="preserve">inventory or</w:t>
      </w:r>
      <w:r>
        <w:t xml:space="preserve">] property indicating the property owner's liability for the penalty and shall deliver a written notice of imposition of the penalty, explaining the reason for its imposition, to the property owner.  The assessor for a taxing unit that taxes the [</w:t>
      </w:r>
      <w:r>
        <w:rPr>
          <w:strike/>
        </w:rPr>
        <w:t xml:space="preserve">inventory or</w:t>
      </w:r>
      <w:r>
        <w:t xml:space="preserve">] property shall add the amount of the penalty to the property owner's tax bill, and the tax collector for the </w:t>
      </w:r>
      <w:r>
        <w:rPr>
          <w:u w:val="single"/>
        </w:rPr>
        <w:t xml:space="preserve">taxing</w:t>
      </w:r>
      <w:r>
        <w:t xml:space="preserve"> unit shall collect the penalty at the time and in the manner the collector collects the tax.  The amount of the penalty constitutes a lien against the [</w:t>
      </w:r>
      <w:r>
        <w:rPr>
          <w:strike/>
        </w:rPr>
        <w:t xml:space="preserve">inventory or</w:t>
      </w:r>
      <w:r>
        <w:t xml:space="preserve">] property against which the penalty is imposed, as if it were a tax, and accrues penalty and interest in the same manner as a delinquent tax.</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11.253(a)(2), Tax Code, is amended to read as follows:</w:t>
      </w:r>
    </w:p>
    <w:p w:rsidR="003F3435" w:rsidRDefault="0032493E">
      <w:pPr>
        <w:spacing w:line="480" w:lineRule="auto"/>
        <w:ind w:firstLine="1440"/>
        <w:jc w:val="both"/>
      </w:pPr>
      <w:r>
        <w:t xml:space="preserve">(2)</w:t>
      </w:r>
      <w:r xml:space="preserve">
        <w:t> </w:t>
      </w:r>
      <w:r xml:space="preserve">
        <w:t> </w:t>
      </w:r>
      <w:r>
        <w:t xml:space="preserve">"Goods-in-transit" means tangible personal property that:</w:t>
      </w:r>
    </w:p>
    <w:p w:rsidR="003F3435" w:rsidRDefault="0032493E">
      <w:pPr>
        <w:spacing w:line="480" w:lineRule="auto"/>
        <w:ind w:firstLine="2160"/>
        <w:jc w:val="both"/>
      </w:pPr>
      <w:r>
        <w:t xml:space="preserve">(A)</w:t>
      </w:r>
      <w:r xml:space="preserve">
        <w:t> </w:t>
      </w:r>
      <w:r xml:space="preserve">
        <w:t> </w:t>
      </w:r>
      <w:r>
        <w:t xml:space="preserve">is acquired in or imported into this state to be forwarded to another location in this state or outside this state;</w:t>
      </w:r>
    </w:p>
    <w:p w:rsidR="003F3435" w:rsidRDefault="0032493E">
      <w:pPr>
        <w:spacing w:line="480" w:lineRule="auto"/>
        <w:ind w:firstLine="2160"/>
        <w:jc w:val="both"/>
      </w:pPr>
      <w:r>
        <w:t xml:space="preserve">(B)</w:t>
      </w:r>
      <w:r xml:space="preserve">
        <w:t> </w:t>
      </w:r>
      <w:r xml:space="preserve">
        <w:t> </w:t>
      </w:r>
      <w:r>
        <w:t xml:space="preserve">is stored under a contract of bailment by a public warehouse operator at one or more public warehouse facilities in this state that are not in any way owned or controlled by the owner of the personal property for the account of the person who acquired or imported the property;</w:t>
      </w:r>
    </w:p>
    <w:p w:rsidR="003F3435" w:rsidRDefault="0032493E">
      <w:pPr>
        <w:spacing w:line="480" w:lineRule="auto"/>
        <w:ind w:firstLine="2160"/>
        <w:jc w:val="both"/>
      </w:pPr>
      <w:r>
        <w:t xml:space="preserve">(C)</w:t>
      </w:r>
      <w:r xml:space="preserve">
        <w:t> </w:t>
      </w:r>
      <w:r xml:space="preserve">
        <w:t> </w:t>
      </w:r>
      <w:r>
        <w:t xml:space="preserve">is transported to another location in this state or outside this state not later than 175 days after the date the person acquired the property in or imported the property into this state; and</w:t>
      </w:r>
    </w:p>
    <w:p w:rsidR="003F3435" w:rsidRDefault="0032493E">
      <w:pPr>
        <w:spacing w:line="480" w:lineRule="auto"/>
        <w:ind w:firstLine="2160"/>
        <w:jc w:val="both"/>
      </w:pPr>
      <w:r>
        <w:t xml:space="preserve">(D)</w:t>
      </w:r>
      <w:r xml:space="preserve">
        <w:t> </w:t>
      </w:r>
      <w:r xml:space="preserve">
        <w:t> </w:t>
      </w:r>
      <w:r>
        <w:t xml:space="preserve">does not include oil, natural gas, petroleum products, </w:t>
      </w:r>
      <w:r>
        <w:rPr>
          <w:u w:val="single"/>
        </w:rPr>
        <w:t xml:space="preserve">or</w:t>
      </w:r>
      <w:r>
        <w:t xml:space="preserve"> aircraft[</w:t>
      </w:r>
      <w:r>
        <w:rPr>
          <w:strike/>
        </w:rPr>
        <w:t xml:space="preserve">, dealer's motor vehicle inventory, dealer's vessel and outboard motor inventory, dealer's heavy equipment inventory, or retail manufactured housing inventory</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11.253(c), Tax Code, is amended to read as follows:</w:t>
      </w:r>
    </w:p>
    <w:p w:rsidR="003F3435" w:rsidRDefault="0032493E">
      <w:pPr>
        <w:spacing w:line="480" w:lineRule="auto"/>
        <w:ind w:firstLine="720"/>
        <w:jc w:val="both"/>
      </w:pPr>
      <w:r>
        <w:t xml:space="preserve">(c)</w:t>
      </w:r>
      <w:r xml:space="preserve">
        <w:t> </w:t>
      </w:r>
      <w:r xml:space="preserve">
        <w:t> </w:t>
      </w:r>
      <w:r>
        <w:t xml:space="preserve">The exemption provided by Subsection (b) is subtracted from the market value of the property [</w:t>
      </w:r>
      <w:r>
        <w:rPr>
          <w:strike/>
        </w:rPr>
        <w:t xml:space="preserve">determined under Section 23.01 or 23.12, as applicable,</w:t>
      </w:r>
      <w:r>
        <w:t xml:space="preserve">] to determine the taxable value of the property.</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B, Chapter 11, Tax Code, is amended by adding Section 11.36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11.36.</w:t>
      </w:r>
      <w:r>
        <w:rPr>
          <w:u w:val="single"/>
        </w:rPr>
        <w:t xml:space="preserve"> </w:t>
      </w:r>
      <w:r>
        <w:rPr>
          <w:u w:val="single"/>
        </w:rPr>
        <w:t xml:space="preserve"> </w:t>
      </w:r>
      <w:r>
        <w:rPr>
          <w:u w:val="single"/>
        </w:rPr>
        <w:t xml:space="preserve">INVENTORY.  (a)  In this section, "inventory" 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finished good held for sale or resale;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raw or finished material held to be incorporated into or attached to tangible personal property to create a finished good;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residential real property that has never been occupied as a residence and is held for sale in the ordinary course of a trade or business, provided that the residential real property remains unoccupied, is not leased or rented, and produces no income.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is entitled to an exemption from taxation by a taxing unit of inventory owned by the person.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11.4391(b), (c), and (d), Tax Code, are amended to read as follows:</w:t>
      </w:r>
    </w:p>
    <w:p w:rsidR="003F3435" w:rsidRDefault="0032493E">
      <w:pPr>
        <w:spacing w:line="480" w:lineRule="auto"/>
        <w:ind w:firstLine="720"/>
        <w:jc w:val="both"/>
      </w:pPr>
      <w:r>
        <w:t xml:space="preserve">(b)</w:t>
      </w:r>
      <w:r xml:space="preserve">
        <w:t> </w:t>
      </w:r>
      <w:r xml:space="preserve">
        <w:t> </w:t>
      </w:r>
      <w:r>
        <w:t xml:space="preserve">If the application is approved, the property owner is liable to each taxing unit for a penalty in an amount equal to 10 percent of the difference between the amount of tax imposed by the taxing unit on the [</w:t>
      </w:r>
      <w:r>
        <w:rPr>
          <w:strike/>
        </w:rPr>
        <w:t xml:space="preserve">inventory or</w:t>
      </w:r>
      <w:r>
        <w:t xml:space="preserve">] property, a portion of which consists of freeport goods, and the amount that would otherwise have been imposed.</w:t>
      </w:r>
    </w:p>
    <w:p w:rsidR="003F3435" w:rsidRDefault="0032493E">
      <w:pPr>
        <w:spacing w:line="480" w:lineRule="auto"/>
        <w:ind w:firstLine="720"/>
        <w:jc w:val="both"/>
      </w:pPr>
      <w:r>
        <w:t xml:space="preserve">(c)</w:t>
      </w:r>
      <w:r xml:space="preserve">
        <w:t> </w:t>
      </w:r>
      <w:r xml:space="preserve">
        <w:t> </w:t>
      </w:r>
      <w:r>
        <w:t xml:space="preserve">The chief appraiser shall make an entry on the appraisal records for the [</w:t>
      </w:r>
      <w:r>
        <w:rPr>
          <w:strike/>
        </w:rPr>
        <w:t xml:space="preserve">inventory or</w:t>
      </w:r>
      <w:r>
        <w:t xml:space="preserve">] property indicating the property owner's liability for the penalty and shall deliver a written notice of imposition of the penalty, explaining the reason for its imposition, to the property owner.</w:t>
      </w:r>
    </w:p>
    <w:p w:rsidR="003F3435" w:rsidRDefault="0032493E">
      <w:pPr>
        <w:spacing w:line="480" w:lineRule="auto"/>
        <w:ind w:firstLine="720"/>
        <w:jc w:val="both"/>
      </w:pPr>
      <w:r>
        <w:t xml:space="preserve">(d)</w:t>
      </w:r>
      <w:r xml:space="preserve">
        <w:t> </w:t>
      </w:r>
      <w:r xml:space="preserve">
        <w:t> </w:t>
      </w:r>
      <w:r>
        <w:t xml:space="preserve">The tax assessor for a taxing unit that taxes the [</w:t>
      </w:r>
      <w:r>
        <w:rPr>
          <w:strike/>
        </w:rPr>
        <w:t xml:space="preserve">inventory or</w:t>
      </w:r>
      <w:r>
        <w:t xml:space="preserve">] property shall add the amount of the penalty to the property owner's tax bill, and the tax collector for the </w:t>
      </w:r>
      <w:r>
        <w:rPr>
          <w:u w:val="single"/>
        </w:rPr>
        <w:t xml:space="preserve">taxing</w:t>
      </w:r>
      <w:r>
        <w:t xml:space="preserve"> unit shall collect the penalty at the time and in the manner the collector collects the tax.  The amount of the penalty constitutes a lien against the [</w:t>
      </w:r>
      <w:r>
        <w:rPr>
          <w:strike/>
        </w:rPr>
        <w:t xml:space="preserve">inventory or</w:t>
      </w:r>
      <w:r>
        <w:t xml:space="preserve">] property against which the penalty is imposed, as if it were a tax, and accrues penalty and interest in the same manner as a delinquent tax.</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22.01(a) and (g), Tax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Chapter 24, a person shall render for taxation all tangible personal property used for the production of income that the person owns or that the person manages and controls as a fiduciary on January 1.</w:t>
      </w:r>
      <w:r xml:space="preserve">
        <w:t> </w:t>
      </w:r>
      <w:r xml:space="preserve">
        <w:t> </w:t>
      </w:r>
      <w:r>
        <w:t xml:space="preserve">A rendition statement shall contain:</w:t>
      </w:r>
    </w:p>
    <w:p w:rsidR="003F3435" w:rsidRDefault="0032493E">
      <w:pPr>
        <w:spacing w:line="480" w:lineRule="auto"/>
        <w:ind w:firstLine="1440"/>
        <w:jc w:val="both"/>
      </w:pPr>
      <w:r>
        <w:t xml:space="preserve">(1)</w:t>
      </w:r>
      <w:r xml:space="preserve">
        <w:t> </w:t>
      </w:r>
      <w:r xml:space="preserve">
        <w:t> </w:t>
      </w:r>
      <w:r>
        <w:t xml:space="preserve">the name and address of the property owner;</w:t>
      </w:r>
    </w:p>
    <w:p w:rsidR="003F3435" w:rsidRDefault="0032493E">
      <w:pPr>
        <w:spacing w:line="480" w:lineRule="auto"/>
        <w:ind w:firstLine="1440"/>
        <w:jc w:val="both"/>
      </w:pPr>
      <w:r>
        <w:t xml:space="preserve">(2)</w:t>
      </w:r>
      <w:r xml:space="preserve">
        <w:t> </w:t>
      </w:r>
      <w:r xml:space="preserve">
        <w:t> </w:t>
      </w:r>
      <w:r>
        <w:t xml:space="preserve">a description of the property by type or category;</w:t>
      </w:r>
    </w:p>
    <w:p w:rsidR="003F3435" w:rsidRDefault="0032493E">
      <w:pPr>
        <w:spacing w:line="480" w:lineRule="auto"/>
        <w:ind w:firstLine="1440"/>
        <w:jc w:val="both"/>
      </w:pPr>
      <w:r>
        <w:t xml:space="preserve">(3)</w:t>
      </w:r>
      <w:r xml:space="preserve">
        <w:t> </w:t>
      </w:r>
      <w:r xml:space="preserve">
        <w:t> </w:t>
      </w:r>
      <w:r>
        <w:t xml:space="preserve">[</w:t>
      </w:r>
      <w:r>
        <w:rPr>
          <w:strike/>
        </w:rPr>
        <w:t xml:space="preserve">if the property is inventory, a description of each type of inventory and a general estimate of the quantity of each type of inventory;</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the physical location or taxable situs of the property; and</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the property owner's good faith estimate of the market value of the property or, at the option of the property owner, the historical cost when new and the year of acquisition of the property.</w:t>
      </w:r>
    </w:p>
    <w:p w:rsidR="003F3435" w:rsidRDefault="0032493E">
      <w:pPr>
        <w:spacing w:line="480" w:lineRule="auto"/>
        <w:ind w:firstLine="720"/>
        <w:jc w:val="both"/>
      </w:pPr>
      <w:r>
        <w:t xml:space="preserve">(g)</w:t>
      </w:r>
      <w:r xml:space="preserve">
        <w:t> </w:t>
      </w:r>
      <w:r xml:space="preserve">
        <w:t> </w:t>
      </w:r>
      <w:r>
        <w:t xml:space="preserve">A person's good faith estimate of the market value of the property under Subsection </w:t>
      </w:r>
      <w:r>
        <w:rPr>
          <w:u w:val="single"/>
        </w:rPr>
        <w:t xml:space="preserve">(a)(4)</w:t>
      </w:r>
      <w:r>
        <w:t xml:space="preserve"> [</w:t>
      </w:r>
      <w:r>
        <w:rPr>
          <w:strike/>
        </w:rPr>
        <w:t xml:space="preserve">(a)(5)</w:t>
      </w:r>
      <w:r>
        <w:t xml:space="preserve">] is solely for the purpose of compliance with the requirement to render tangible personal property and is inadmissible in any subsequent protest, hearing, appeal, suit, or other proceeding under this title involving the property, except for:</w:t>
      </w:r>
    </w:p>
    <w:p w:rsidR="003F3435" w:rsidRDefault="0032493E">
      <w:pPr>
        <w:spacing w:line="480" w:lineRule="auto"/>
        <w:ind w:firstLine="1440"/>
        <w:jc w:val="both"/>
      </w:pPr>
      <w:r>
        <w:t xml:space="preserve">(1)</w:t>
      </w:r>
      <w:r xml:space="preserve">
        <w:t> </w:t>
      </w:r>
      <w:r xml:space="preserve">
        <w:t> </w:t>
      </w:r>
      <w:r>
        <w:t xml:space="preserve">a proceeding to determine whether the person complied with this section;</w:t>
      </w:r>
    </w:p>
    <w:p w:rsidR="003F3435" w:rsidRDefault="0032493E">
      <w:pPr>
        <w:spacing w:line="480" w:lineRule="auto"/>
        <w:ind w:firstLine="1440"/>
        <w:jc w:val="both"/>
      </w:pPr>
      <w:r>
        <w:t xml:space="preserve">(2)</w:t>
      </w:r>
      <w:r xml:space="preserve">
        <w:t> </w:t>
      </w:r>
      <w:r xml:space="preserve">
        <w:t> </w:t>
      </w:r>
      <w:r>
        <w:t xml:space="preserve">a proceeding under Section 22.29(b); or</w:t>
      </w:r>
    </w:p>
    <w:p w:rsidR="003F3435" w:rsidRDefault="0032493E">
      <w:pPr>
        <w:spacing w:line="480" w:lineRule="auto"/>
        <w:ind w:firstLine="1440"/>
        <w:jc w:val="both"/>
      </w:pPr>
      <w:r>
        <w:t xml:space="preserve">(3)</w:t>
      </w:r>
      <w:r xml:space="preserve">
        <w:t> </w:t>
      </w:r>
      <w:r xml:space="preserve">
        <w:t> </w:t>
      </w:r>
      <w:r>
        <w:t xml:space="preserve">a protest under Section 41.41.</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22.04(d), Tax Code, is amended to read as follows:</w:t>
      </w:r>
    </w:p>
    <w:p w:rsidR="003F3435" w:rsidRDefault="0032493E">
      <w:pPr>
        <w:spacing w:line="480" w:lineRule="auto"/>
        <w:ind w:firstLine="720"/>
        <w:jc w:val="both"/>
      </w:pPr>
      <w:r>
        <w:t xml:space="preserve">(d)</w:t>
      </w:r>
      <w:r xml:space="preserve">
        <w:t> </w:t>
      </w:r>
      <w:r xml:space="preserve">
        <w:t> </w:t>
      </w:r>
      <w:r>
        <w:t xml:space="preserve">This section does not apply to a motor vehicle that on January 1 is located at a place of business of a person who holds a wholesale motor vehicle auction general distinguishing number issued by the Texas Department of Motor Vehicles under Chapter 503, Transportation Code, for that place of business, and that:</w:t>
      </w:r>
    </w:p>
    <w:p w:rsidR="003F3435" w:rsidRDefault="0032493E">
      <w:pPr>
        <w:spacing w:line="480" w:lineRule="auto"/>
        <w:ind w:firstLine="1440"/>
        <w:jc w:val="both"/>
      </w:pPr>
      <w:r>
        <w:t xml:space="preserve">(1)</w:t>
      </w:r>
      <w:r xml:space="preserve">
        <w:t> </w:t>
      </w:r>
      <w:r xml:space="preserve">
        <w:t> </w:t>
      </w:r>
      <w:r>
        <w:t xml:space="preserve">has not acquired taxable situs under Section 21.02(a)(1) in a taxing unit that participates in the appraisal district because the vehicle is described by Section 21.02(d);</w:t>
      </w:r>
    </w:p>
    <w:p w:rsidR="003F3435" w:rsidRDefault="0032493E">
      <w:pPr>
        <w:spacing w:line="480" w:lineRule="auto"/>
        <w:ind w:firstLine="1440"/>
        <w:jc w:val="both"/>
      </w:pPr>
      <w:r>
        <w:t xml:space="preserve">(2)</w:t>
      </w:r>
      <w:r xml:space="preserve">
        <w:t> </w:t>
      </w:r>
      <w:r xml:space="preserve">
        <w:t> </w:t>
      </w:r>
      <w:r>
        <w:t xml:space="preserve">is offered for sale by a dealer who holds a dealer's general distinguishing number issued by the Texas Department of Motor Vehicles under Chapter 503, Transportation Code[</w:t>
      </w:r>
      <w:r>
        <w:rPr>
          <w:strike/>
        </w:rPr>
        <w:t xml:space="preserve">, and whose inventory of motor vehicles is subject to taxation in the manner provided by Sections 23.121 and 23.122</w:t>
      </w:r>
      <w:r>
        <w:t xml:space="preserve">]; or</w:t>
      </w:r>
    </w:p>
    <w:p w:rsidR="003F3435" w:rsidRDefault="0032493E">
      <w:pPr>
        <w:spacing w:line="480" w:lineRule="auto"/>
        <w:ind w:firstLine="1440"/>
        <w:jc w:val="both"/>
      </w:pPr>
      <w:r>
        <w:t xml:space="preserve">(3)</w:t>
      </w:r>
      <w:r xml:space="preserve">
        <w:t> </w:t>
      </w:r>
      <w:r xml:space="preserve">
        <w:t> </w:t>
      </w:r>
      <w:r>
        <w:t xml:space="preserve">is collateral possessed by a lienholder and offered for sale in foreclosure of a security interest.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22.07(c), Tax Code, is amended to read as follows:</w:t>
      </w:r>
    </w:p>
    <w:p w:rsidR="003F3435" w:rsidRDefault="0032493E">
      <w:pPr>
        <w:spacing w:line="480" w:lineRule="auto"/>
        <w:ind w:firstLine="720"/>
        <w:jc w:val="both"/>
      </w:pPr>
      <w:r>
        <w:t xml:space="preserve">(c)</w:t>
      </w:r>
      <w:r xml:space="preserve">
        <w:t> </w:t>
      </w:r>
      <w:r xml:space="preserve">
        <w:t> </w:t>
      </w:r>
      <w:r>
        <w:t xml:space="preserve">The chief appraiser may request, either in writing or by electronic means, that the property owner provide a statement containing supporting information indicating how the value rendered under Section </w:t>
      </w:r>
      <w:r>
        <w:rPr>
          <w:u w:val="single"/>
        </w:rPr>
        <w:t xml:space="preserve">22.01(a)(4)</w:t>
      </w:r>
      <w:r>
        <w:t xml:space="preserve"> [</w:t>
      </w:r>
      <w:r>
        <w:rPr>
          <w:strike/>
        </w:rPr>
        <w:t xml:space="preserve">22.01(a)(5)</w:t>
      </w:r>
      <w:r>
        <w:t xml:space="preserve">] was determined.</w:t>
      </w:r>
      <w:r xml:space="preserve">
        <w:t> </w:t>
      </w:r>
      <w:r xml:space="preserve">
        <w:t> </w:t>
      </w:r>
      <w:r>
        <w:t xml:space="preserve">The statement must:</w:t>
      </w:r>
    </w:p>
    <w:p w:rsidR="003F3435" w:rsidRDefault="0032493E">
      <w:pPr>
        <w:spacing w:line="480" w:lineRule="auto"/>
        <w:ind w:firstLine="1440"/>
        <w:jc w:val="both"/>
      </w:pPr>
      <w:r>
        <w:t xml:space="preserve">(1)</w:t>
      </w:r>
      <w:r xml:space="preserve">
        <w:t> </w:t>
      </w:r>
      <w:r xml:space="preserve">
        <w:t> </w:t>
      </w:r>
      <w:r>
        <w:t xml:space="preserve">summarize information sufficient to identify the property, including:</w:t>
      </w:r>
    </w:p>
    <w:p w:rsidR="003F3435" w:rsidRDefault="0032493E">
      <w:pPr>
        <w:spacing w:line="480" w:lineRule="auto"/>
        <w:ind w:firstLine="2160"/>
        <w:jc w:val="both"/>
      </w:pPr>
      <w:r>
        <w:t xml:space="preserve">(A)</w:t>
      </w:r>
      <w:r xml:space="preserve">
        <w:t> </w:t>
      </w:r>
      <w:r xml:space="preserve">
        <w:t> </w:t>
      </w:r>
      <w:r>
        <w:t xml:space="preserve">the physical and economic characteristics relevant to the opinion of value, if appropriate; and</w:t>
      </w:r>
    </w:p>
    <w:p w:rsidR="003F3435" w:rsidRDefault="0032493E">
      <w:pPr>
        <w:spacing w:line="480" w:lineRule="auto"/>
        <w:ind w:firstLine="2160"/>
        <w:jc w:val="both"/>
      </w:pPr>
      <w:r>
        <w:t xml:space="preserve">(B)</w:t>
      </w:r>
      <w:r xml:space="preserve">
        <w:t> </w:t>
      </w:r>
      <w:r xml:space="preserve">
        <w:t> </w:t>
      </w:r>
      <w:r>
        <w:t xml:space="preserve">the source of the information used;</w:t>
      </w:r>
    </w:p>
    <w:p w:rsidR="003F3435" w:rsidRDefault="0032493E">
      <w:pPr>
        <w:spacing w:line="480" w:lineRule="auto"/>
        <w:ind w:firstLine="1440"/>
        <w:jc w:val="both"/>
      </w:pPr>
      <w:r>
        <w:t xml:space="preserve">(2)</w:t>
      </w:r>
      <w:r xml:space="preserve">
        <w:t> </w:t>
      </w:r>
      <w:r xml:space="preserve">
        <w:t> </w:t>
      </w:r>
      <w:r>
        <w:t xml:space="preserve">state the effective date of the opinion of value; and</w:t>
      </w:r>
    </w:p>
    <w:p w:rsidR="003F3435" w:rsidRDefault="0032493E">
      <w:pPr>
        <w:spacing w:line="480" w:lineRule="auto"/>
        <w:ind w:firstLine="1440"/>
        <w:jc w:val="both"/>
      </w:pPr>
      <w:r>
        <w:t xml:space="preserve">(3)</w:t>
      </w:r>
      <w:r xml:space="preserve">
        <w:t> </w:t>
      </w:r>
      <w:r xml:space="preserve">
        <w:t> </w:t>
      </w:r>
      <w:r>
        <w:t xml:space="preserve">explain the basis of the value rendered</w:t>
      </w:r>
      <w:r>
        <w:rPr>
          <w:u w:val="single"/>
        </w:rPr>
        <w:t xml:space="preserve">, which may be the depreciation schedules used for federal income tax purposes if</w:t>
      </w:r>
      <w:r>
        <w:t xml:space="preserve"> [</w:t>
      </w:r>
      <w:r>
        <w:rPr>
          <w:strike/>
        </w:rPr>
        <w:t xml:space="preserve">.</w:t>
      </w:r>
      <w:r xml:space="preserve">
        <w:rPr>
          <w:strike/>
        </w:rPr>
        <w:t> </w:t>
      </w:r>
      <w:r xml:space="preserve">
        <w:rPr>
          <w:strike/>
        </w:rPr>
        <w:t> </w:t>
      </w:r>
      <w:r>
        <w:rPr>
          <w:strike/>
        </w:rPr>
        <w:t xml:space="preserve">If</w:t>
      </w:r>
      <w:r>
        <w:t xml:space="preserve">] the property owner is a business with 50 employees or less[</w:t>
      </w:r>
      <w:r>
        <w:rPr>
          <w:strike/>
        </w:rPr>
        <w:t xml:space="preserve">, the property owner may base the estimate of value on the depreciation schedules used for federal income tax purposes</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Sections 23.20(a), (b), and (c), Tax Code,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 property owner</w:t>
      </w:r>
      <w:r>
        <w:t xml:space="preserve"> [</w:t>
      </w:r>
      <w:r>
        <w:rPr>
          <w:strike/>
        </w:rPr>
        <w:t xml:space="preserve">An owner of inventory or real property</w:t>
      </w:r>
      <w:r>
        <w:t xml:space="preserve">] may in writing waive the right to special appraisal provided by [</w:t>
      </w:r>
      <w:r>
        <w:rPr>
          <w:strike/>
        </w:rPr>
        <w:t xml:space="preserve">Section 23.12 or</w:t>
      </w:r>
      <w:r>
        <w:t xml:space="preserve">] Subchapter C, D, E, F, or G as to one or more taxing units designated in the waiver.  In a tax year in which a waiver is in effect, the property is appraised for each taxing unit to which the waiver applies at the value determined under Subchapter A of this chapter or the value determined under [</w:t>
      </w:r>
      <w:r>
        <w:rPr>
          <w:strike/>
        </w:rPr>
        <w:t xml:space="preserve">Section 23.12 or</w:t>
      </w:r>
      <w:r>
        <w:t xml:space="preserve">] Subchapter C, D, E, F, or G, whichever is the greater value.</w:t>
      </w:r>
    </w:p>
    <w:p w:rsidR="003F3435" w:rsidRDefault="0032493E">
      <w:pPr>
        <w:spacing w:line="480" w:lineRule="auto"/>
        <w:ind w:firstLine="720"/>
        <w:jc w:val="both"/>
      </w:pPr>
      <w:r>
        <w:t xml:space="preserve">(b)</w:t>
      </w:r>
      <w:r xml:space="preserve">
        <w:t> </w:t>
      </w:r>
      <w:r xml:space="preserve">
        <w:t> </w:t>
      </w:r>
      <w:r>
        <w:t xml:space="preserve">[</w:t>
      </w:r>
      <w:r>
        <w:rPr>
          <w:strike/>
        </w:rPr>
        <w:t xml:space="preserve">A waiver of the right to special appraisal provided by Section 23.12 may be submitted at any time.</w:t>
      </w:r>
      <w:r>
        <w:t xml:space="preserve">]  A waiver of the right to special appraisal provided by Subchapter C, D, E, F, or G may be submitted with an application for appraisal under that subchapter or at any other time.  A property owner who has waived special appraisal under this section as to one or more taxing units may make additional waivers under this section as to other taxing units in which the property is located.</w:t>
      </w:r>
    </w:p>
    <w:p w:rsidR="003F3435" w:rsidRDefault="0032493E">
      <w:pPr>
        <w:spacing w:line="480" w:lineRule="auto"/>
        <w:ind w:firstLine="720"/>
        <w:jc w:val="both"/>
      </w:pPr>
      <w:r>
        <w:t xml:space="preserve">(c)</w:t>
      </w:r>
      <w:r xml:space="preserve">
        <w:t> </w:t>
      </w:r>
      <w:r xml:space="preserve">
        <w:t> </w:t>
      </w:r>
      <w:r>
        <w:t xml:space="preserve">A waiver under this section is effective for 25 consecutive tax years beginning on the first tax year in which the waiver is effective without regard to whether the property is subject to appraisal under [</w:t>
      </w:r>
      <w:r>
        <w:rPr>
          <w:strike/>
        </w:rPr>
        <w:t xml:space="preserve">Section 23.12 or</w:t>
      </w:r>
      <w:r>
        <w:t xml:space="preserve">] Subchapter C, D, E, F, or G. To be effective in the year in which the waiver is executed, it must be filed before May 1 of that year with the chief appraiser of the appraisal district in which the property is located, unless for good cause shown the chief appraiser extends the filing deadline for not more than 60 days.  An application filed after the year's deadline takes effect in the next tax year.</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The heading to Section 31.081, Tax Code, is amended to read as follows:</w:t>
      </w:r>
    </w:p>
    <w:p w:rsidR="003F3435" w:rsidRDefault="0032493E">
      <w:pPr>
        <w:spacing w:line="480" w:lineRule="auto"/>
        <w:ind w:firstLine="720"/>
        <w:jc w:val="both"/>
      </w:pPr>
      <w:r>
        <w:t xml:space="preserve">Sec.</w:t>
      </w:r>
      <w:r xml:space="preserve">
        <w:t> </w:t>
      </w:r>
      <w:r>
        <w:t xml:space="preserve">31.081.</w:t>
      </w:r>
      <w:r xml:space="preserve">
        <w:t> </w:t>
      </w:r>
      <w:r xml:space="preserve">
        <w:t> </w:t>
      </w:r>
      <w:r>
        <w:t xml:space="preserve">PROPERTY TAX WITHHOLDING ON PURCHASE OF BUSINESS [</w:t>
      </w:r>
      <w:r>
        <w:rPr>
          <w:strike/>
        </w:rPr>
        <w:t xml:space="preserve">OR INVENTORY</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Sections 31.081(a), (f), and (g), Tax Code, are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person who purchases a business </w:t>
      </w:r>
      <w:r>
        <w:rPr>
          <w:u w:val="single"/>
        </w:rPr>
        <w:t xml:space="preserve">or</w:t>
      </w:r>
      <w:r>
        <w:t xml:space="preserve"> [</w:t>
      </w:r>
      <w:r>
        <w:rPr>
          <w:strike/>
        </w:rPr>
        <w:t xml:space="preserve">,</w:t>
      </w:r>
      <w:r>
        <w:t xml:space="preserve">] an interest in a business[</w:t>
      </w:r>
      <w:r>
        <w:rPr>
          <w:strike/>
        </w:rPr>
        <w:t xml:space="preserve">, or the inventory of a business</w:t>
      </w:r>
      <w:r>
        <w:t xml:space="preserve">] from a person who is liable under this title for the payment of taxes imposed on personal property used in the operation of that business.</w:t>
      </w:r>
    </w:p>
    <w:p w:rsidR="003F3435" w:rsidRDefault="0032493E">
      <w:pPr>
        <w:spacing w:line="480" w:lineRule="auto"/>
        <w:ind w:firstLine="720"/>
        <w:jc w:val="both"/>
      </w:pPr>
      <w:r>
        <w:t xml:space="preserve">(f)</w:t>
      </w:r>
      <w:r xml:space="preserve">
        <w:t> </w:t>
      </w:r>
      <w:r xml:space="preserve">
        <w:t> </w:t>
      </w:r>
      <w:r>
        <w:t xml:space="preserve">This section does not release a person who sells a business [</w:t>
      </w:r>
      <w:r>
        <w:rPr>
          <w:strike/>
        </w:rPr>
        <w:t xml:space="preserve">or the inventory of a business</w:t>
      </w:r>
      <w:r>
        <w:t xml:space="preserve">] from any personal liability imposed on the person for the payment of taxes imposed on the personal property of the business or for penalties or interest on those taxes.</w:t>
      </w:r>
    </w:p>
    <w:p w:rsidR="003F3435" w:rsidRDefault="0032493E">
      <w:pPr>
        <w:spacing w:line="480" w:lineRule="auto"/>
        <w:ind w:firstLine="720"/>
        <w:jc w:val="both"/>
      </w:pPr>
      <w:r>
        <w:t xml:space="preserve">(g)</w:t>
      </w:r>
      <w:r xml:space="preserve">
        <w:t> </w:t>
      </w:r>
      <w:r xml:space="preserve">
        <w:t> </w:t>
      </w:r>
      <w:r>
        <w:t xml:space="preserve">For purposes of this section</w:t>
      </w:r>
      <w:r>
        <w:rPr>
          <w:u w:val="single"/>
        </w:rPr>
        <w:t xml:space="preserve">,</w:t>
      </w:r>
      <w:r>
        <w:t xml:space="preserve"> [</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a person is considered to have purchased a business if the person purchases the name of the business or the goodwill associated with the business[</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 person is considered to have purchased the inventory of a business if the person purchases inventory of a business, the value of which is at least 50 percent of the value of the total inventory of the business on the date of the purchase</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32.01(b), Tax Code, is amended to read as follows:</w:t>
      </w:r>
    </w:p>
    <w:p w:rsidR="003F3435" w:rsidRDefault="0032493E">
      <w:pPr>
        <w:spacing w:line="480" w:lineRule="auto"/>
        <w:ind w:firstLine="720"/>
        <w:jc w:val="both"/>
      </w:pPr>
      <w:r>
        <w:t xml:space="preserve">(b)</w:t>
      </w:r>
      <w:r xml:space="preserve">
        <w:t> </w:t>
      </w:r>
      <w:r xml:space="preserve">
        <w:t> </w:t>
      </w:r>
      <w:r>
        <w:t xml:space="preserve">A tax lien on [</w:t>
      </w:r>
      <w:r>
        <w:rPr>
          <w:strike/>
        </w:rPr>
        <w:t xml:space="preserve">inventory,</w:t>
      </w:r>
      <w:r>
        <w:t xml:space="preserve">] furniture, equipment, or other personal property is a lien in solido and attaches to all [</w:t>
      </w:r>
      <w:r>
        <w:rPr>
          <w:strike/>
        </w:rPr>
        <w:t xml:space="preserve">inventory,</w:t>
      </w:r>
      <w:r>
        <w:t xml:space="preserve">] furniture, equipment, and other personal property that the property owner owns on January 1 of the year the lien attaches or that the property owner subsequently acquires.</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41.44(a), Tax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Subsections (b), (c), (c-1), and (c-2), to be entitled to a hearing and determination of a protest, the property owner initiating the protest must file a written notice of the protest with the appraisal review board having authority to hear the matter protested:</w:t>
      </w:r>
    </w:p>
    <w:p w:rsidR="003F3435" w:rsidRDefault="0032493E">
      <w:pPr>
        <w:spacing w:line="480" w:lineRule="auto"/>
        <w:ind w:firstLine="1440"/>
        <w:jc w:val="both"/>
      </w:pPr>
      <w:r>
        <w:t xml:space="preserve">(1)</w:t>
      </w:r>
      <w:r xml:space="preserve">
        <w:t> </w:t>
      </w:r>
      <w:r xml:space="preserve">
        <w:t> </w:t>
      </w:r>
      <w:r>
        <w:t xml:space="preserve">not later than May 15 or the 30th day after the date that notice to the property owner was delivered to the property owner as provided by Section 25.19, whichever is later;</w:t>
      </w:r>
    </w:p>
    <w:p w:rsidR="003F3435" w:rsidRDefault="0032493E">
      <w:pPr>
        <w:spacing w:line="480" w:lineRule="auto"/>
        <w:ind w:firstLine="1440"/>
        <w:jc w:val="both"/>
      </w:pPr>
      <w:r>
        <w:t xml:space="preserve">(2)</w:t>
      </w:r>
      <w:r xml:space="preserve">
        <w:t> </w:t>
      </w:r>
      <w:r xml:space="preserve">
        <w:t> </w:t>
      </w:r>
      <w:r>
        <w:t xml:space="preserve">in the case of a protest of a change in the appraisal records ordered as provided by Subchapter A of this chapter or by Chapter 25, not later than the 30th day after the date notice of the change is delivered to the property owner;</w:t>
      </w:r>
    </w:p>
    <w:p w:rsidR="003F3435" w:rsidRDefault="0032493E">
      <w:pPr>
        <w:spacing w:line="480" w:lineRule="auto"/>
        <w:ind w:firstLine="1440"/>
        <w:jc w:val="both"/>
      </w:pPr>
      <w:r>
        <w:t xml:space="preserve">(3)</w:t>
      </w:r>
      <w:r xml:space="preserve">
        <w:t> </w:t>
      </w:r>
      <w:r xml:space="preserve">
        <w:t> </w:t>
      </w:r>
      <w:r>
        <w:t xml:space="preserve">in the case of a determination that a change in the use of land appraised under Subchapter C, D, E, or H, Chapter 23, has occurred, not later than the 30th day after the date the notice of the determination is delivered to the property owner; </w:t>
      </w:r>
      <w:r>
        <w:rPr>
          <w:u w:val="single"/>
        </w:rPr>
        <w:t xml:space="preserve">or</w:t>
      </w:r>
    </w:p>
    <w:p w:rsidR="003F3435" w:rsidRDefault="0032493E">
      <w:pPr>
        <w:spacing w:line="480" w:lineRule="auto"/>
        <w:ind w:firstLine="1440"/>
        <w:jc w:val="both"/>
      </w:pPr>
      <w:r>
        <w:t xml:space="preserve">(4)</w:t>
      </w:r>
      <w:r xml:space="preserve">
        <w:t> </w:t>
      </w:r>
      <w:r xml:space="preserve">
        <w:t> </w:t>
      </w:r>
      <w:r>
        <w:t xml:space="preserve">[</w:t>
      </w:r>
      <w:r>
        <w:rPr>
          <w:strike/>
        </w:rPr>
        <w:t xml:space="preserve">in the case of a determination of eligibility for a refund under Section 23.1243, not later than the 30th day after the date the notice of the determination is delivered to the property owner; or</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in the case of a protest of the modification or denial of an application for an exemption under Section 11.35, or the determination of an appropriate damage assessment rating for an item of qualified property under that section, not later than the 30th day after the date the property owner receives the notice required under Section 11.45(e).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Sections 42.01(a) and (c), Tax Code, are amended to read as follows:</w:t>
      </w:r>
    </w:p>
    <w:p w:rsidR="003F3435" w:rsidRDefault="0032493E">
      <w:pPr>
        <w:spacing w:line="480" w:lineRule="auto"/>
        <w:ind w:firstLine="720"/>
        <w:jc w:val="both"/>
      </w:pPr>
      <w:r>
        <w:t xml:space="preserve">(a)</w:t>
      </w:r>
      <w:r xml:space="preserve">
        <w:t> </w:t>
      </w:r>
      <w:r xml:space="preserve">
        <w:t> </w:t>
      </w:r>
      <w:r>
        <w:t xml:space="preserve">A property owner is entitled to appeal:</w:t>
      </w:r>
    </w:p>
    <w:p w:rsidR="003F3435" w:rsidRDefault="0032493E">
      <w:pPr>
        <w:spacing w:line="480" w:lineRule="auto"/>
        <w:ind w:firstLine="1440"/>
        <w:jc w:val="both"/>
      </w:pPr>
      <w:r>
        <w:t xml:space="preserve">(1)</w:t>
      </w:r>
      <w:r xml:space="preserve">
        <w:t> </w:t>
      </w:r>
      <w:r xml:space="preserve">
        <w:t> </w:t>
      </w:r>
      <w:r>
        <w:t xml:space="preserve">an order of the appraisal review board determining:</w:t>
      </w:r>
    </w:p>
    <w:p w:rsidR="003F3435" w:rsidRDefault="0032493E">
      <w:pPr>
        <w:spacing w:line="480" w:lineRule="auto"/>
        <w:ind w:firstLine="2160"/>
        <w:jc w:val="both"/>
      </w:pPr>
      <w:r>
        <w:t xml:space="preserve">(A)</w:t>
      </w:r>
      <w:r xml:space="preserve">
        <w:t> </w:t>
      </w:r>
      <w:r xml:space="preserve">
        <w:t> </w:t>
      </w:r>
      <w:r>
        <w:t xml:space="preserve">a protest by the property owner as provided by Subchapter C of Chapter 41;</w:t>
      </w:r>
    </w:p>
    <w:p w:rsidR="003F3435" w:rsidRDefault="0032493E">
      <w:pPr>
        <w:spacing w:line="480" w:lineRule="auto"/>
        <w:ind w:firstLine="2160"/>
        <w:jc w:val="both"/>
      </w:pPr>
      <w:r>
        <w:t xml:space="preserve">(B)</w:t>
      </w:r>
      <w:r xml:space="preserve">
        <w:t> </w:t>
      </w:r>
      <w:r xml:space="preserve">
        <w:t> </w:t>
      </w:r>
      <w:r>
        <w:t xml:space="preserve">a motion filed under Section 25.25;</w:t>
      </w:r>
    </w:p>
    <w:p w:rsidR="003F3435" w:rsidRDefault="0032493E">
      <w:pPr>
        <w:spacing w:line="480" w:lineRule="auto"/>
        <w:ind w:firstLine="2160"/>
        <w:jc w:val="both"/>
      </w:pPr>
      <w:r>
        <w:t xml:space="preserve">(C)</w:t>
      </w:r>
      <w:r xml:space="preserve">
        <w:t> </w:t>
      </w:r>
      <w:r xml:space="preserve">
        <w:t> </w:t>
      </w:r>
      <w:r>
        <w:t xml:space="preserve">that the property owner has forfeited the right to a final determination of a motion filed under Section 25.25 or of a protest under Section 41.411 for failing to comply with the prepayment requirements of Section 25.26 or 41.4115, as applicable; </w:t>
      </w:r>
      <w:r>
        <w:rPr>
          <w:u w:val="single"/>
        </w:rPr>
        <w:t xml:space="preserve">or</w:t>
      </w:r>
    </w:p>
    <w:p w:rsidR="003F3435" w:rsidRDefault="0032493E">
      <w:pPr>
        <w:spacing w:line="480" w:lineRule="auto"/>
        <w:ind w:firstLine="2160"/>
        <w:jc w:val="both"/>
      </w:pPr>
      <w:r>
        <w:t xml:space="preserve">(D)</w:t>
      </w:r>
      <w:r xml:space="preserve">
        <w:t> </w:t>
      </w:r>
      <w:r xml:space="preserve">
        <w:t> </w:t>
      </w:r>
      <w:r>
        <w:t xml:space="preserve">[</w:t>
      </w:r>
      <w:r>
        <w:rPr>
          <w:strike/>
        </w:rPr>
        <w:t xml:space="preserve">eligibility for a refund requested under Section 23.1243; or</w:t>
      </w:r>
    </w:p>
    <w:p w:rsidR="003F3435" w:rsidRDefault="0032493E">
      <w:pPr>
        <w:spacing w:line="480" w:lineRule="auto"/>
        <w:ind w:firstLine="2160"/>
        <w:jc w:val="both"/>
      </w:pPr>
      <w:r>
        <w:t xml:space="preserve">[</w:t>
      </w:r>
      <w:r>
        <w:rPr>
          <w:strike/>
        </w:rPr>
        <w:t xml:space="preserve">(E)</w:t>
      </w:r>
      <w:r>
        <w:t xml:space="preserve">]</w:t>
      </w:r>
      <w:r xml:space="preserve">
        <w:t> </w:t>
      </w:r>
      <w:r xml:space="preserve">
        <w:t> </w:t>
      </w:r>
      <w:r>
        <w:t xml:space="preserve">that the appraisal review board lacks jurisdiction to finally determine a protest by the property owner under Subchapter C, Chapter 41, or a motion filed by the property owner under Section 25.25 because the property owner failed to comply with a requirement of Subchapter C, Chapter 41, or Section 25.25, as applicable; or</w:t>
      </w:r>
    </w:p>
    <w:p w:rsidR="003F3435" w:rsidRDefault="0032493E">
      <w:pPr>
        <w:spacing w:line="480" w:lineRule="auto"/>
        <w:ind w:firstLine="1440"/>
        <w:jc w:val="both"/>
      </w:pPr>
      <w:r>
        <w:t xml:space="preserve">(2)</w:t>
      </w:r>
      <w:r xml:space="preserve">
        <w:t> </w:t>
      </w:r>
      <w:r xml:space="preserve">
        <w:t> </w:t>
      </w:r>
      <w:r>
        <w:t xml:space="preserve">an order of the comptroller issued as provided by Subchapter B, Chapter 24, apportioning among the counties the appraised value of railroad rolling stock owned by the property owner.</w:t>
      </w:r>
    </w:p>
    <w:p w:rsidR="003F3435" w:rsidRDefault="0032493E">
      <w:pPr>
        <w:spacing w:line="480" w:lineRule="auto"/>
        <w:ind w:firstLine="720"/>
        <w:jc w:val="both"/>
      </w:pPr>
      <w:r>
        <w:t xml:space="preserve">(c)</w:t>
      </w:r>
      <w:r xml:space="preserve">
        <w:t> </w:t>
      </w:r>
      <w:r xml:space="preserve">
        <w:t> </w:t>
      </w:r>
      <w:r>
        <w:t xml:space="preserve">A property owner who establishes that the appraisal review board had jurisdiction to issue a final determination of the protest by the property owner under Subchapter C, Chapter 41, or of the motion filed by the property owner under Section 25.25 in an appeal under Subsection </w:t>
      </w:r>
      <w:r>
        <w:rPr>
          <w:u w:val="single"/>
        </w:rPr>
        <w:t xml:space="preserve">(a)(1)(D)</w:t>
      </w:r>
      <w:r>
        <w:t xml:space="preserve"> [</w:t>
      </w:r>
      <w:r>
        <w:rPr>
          <w:strike/>
        </w:rPr>
        <w:t xml:space="preserve">(a)(1)(E)</w:t>
      </w:r>
      <w:r>
        <w:t xml:space="preserve">] of this section is entitled to a final determination by the court of the protest under Subchapter C, Chapter 41, or of the motion filed under Section 25.25.</w:t>
      </w:r>
      <w:r xml:space="preserve">
        <w:t> </w:t>
      </w:r>
      <w:r xml:space="preserve">
        <w:t> </w:t>
      </w:r>
      <w:r>
        <w:t xml:space="preserve">A final determination of a protest under Subchapter C, Chapter 41, by the court under this subsection may be on any ground of protest authorized by this title applicable to the property that is the subject of the protest, regardless of whether the property owner included the ground in the property owner's notice of protest.</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Sections 312.204(a) and (g), Tax Code, are amended to read as follows:</w:t>
      </w:r>
    </w:p>
    <w:p w:rsidR="003F3435" w:rsidRDefault="0032493E">
      <w:pPr>
        <w:spacing w:line="480" w:lineRule="auto"/>
        <w:ind w:firstLine="720"/>
        <w:jc w:val="both"/>
      </w:pPr>
      <w:r>
        <w:t xml:space="preserve">(a)</w:t>
      </w:r>
      <w:r xml:space="preserve">
        <w:t> </w:t>
      </w:r>
      <w:r xml:space="preserve">
        <w:t> </w:t>
      </w:r>
      <w:r>
        <w:t xml:space="preserve">The governing body of a municipality eligible to enter into tax abatement agreements under Section 312.002 may agree in writing with the owner of taxable real property that is located in a reinvestment zone, but that is not in an improvement project financed by tax increment bonds, to exempt from taxation a portion of the value of the real property or of tangible personal property located on the real property, or both, for a period not to exceed 10 years, on the condition that the owner of the property make specific improvements or repairs to the property.</w:t>
      </w:r>
      <w:r xml:space="preserve">
        <w:t> </w:t>
      </w:r>
      <w:r xml:space="preserve">
        <w:t> </w:t>
      </w:r>
      <w:r>
        <w:t xml:space="preserve">The governing body of an eligible municipality may agree in writing with the owner of a leasehold interest in tax-exempt real property that is located in a reinvestment zone, but that is not in an improvement project financed by tax increment bonds, to exempt a portion of the value of property subject to ad valorem taxation, including the leasehold interest, improvements, or tangible personal property located on the real property, for a period not to exceed 10 years, on the condition that the owner of the leasehold interest make specific improvements or repairs to the real property.</w:t>
      </w:r>
      <w:r xml:space="preserve">
        <w:t> </w:t>
      </w:r>
      <w:r xml:space="preserve">
        <w:t> </w:t>
      </w:r>
      <w:r>
        <w:t xml:space="preserve">A tax abatement agreement under this section is subject to the rights of holders of outstanding bonds of the municipality.</w:t>
      </w:r>
      <w:r xml:space="preserve">
        <w:t> </w:t>
      </w:r>
      <w:r xml:space="preserve">
        <w:t> </w:t>
      </w:r>
      <w:r>
        <w:t xml:space="preserve">An agreement exempting taxable real property or leasehold interests or improvements on tax-exempt real property may provide for the exemption of such taxable interests in each year covered by the agreement only to the extent its value for that year exceeds its value for the year in which the agreement is executed.</w:t>
      </w:r>
      <w:r xml:space="preserve">
        <w:t> </w:t>
      </w:r>
      <w:r xml:space="preserve">
        <w:t> </w:t>
      </w:r>
      <w:r>
        <w:t xml:space="preserve">An agreement exempting tangible personal property located on taxable or tax-exempt real property may provide for the exemption of tangible personal property located on the real property in each year covered by the agreement other than tangible personal property that was located on the real property at any time before the period covered by the agreement with the municipality, including [</w:t>
      </w:r>
      <w:r>
        <w:rPr>
          <w:strike/>
        </w:rPr>
        <w:t xml:space="preserve">inventory and</w:t>
      </w:r>
      <w:r>
        <w:t xml:space="preserve">] supplies.</w:t>
      </w:r>
      <w:r xml:space="preserve">
        <w:t> </w:t>
      </w:r>
      <w:r xml:space="preserve">
        <w:t> </w:t>
      </w:r>
      <w:r>
        <w:t xml:space="preserve">In a municipality that has a comprehensive zoning ordinance, an improvement, repair, development, or redevelopment taking place under an agreement under this section must conform to the comprehensive zoning ordinance.</w:t>
      </w:r>
    </w:p>
    <w:p w:rsidR="003F3435" w:rsidRDefault="0032493E">
      <w:pPr>
        <w:spacing w:line="480" w:lineRule="auto"/>
        <w:ind w:firstLine="720"/>
        <w:jc w:val="both"/>
      </w:pPr>
      <w:r>
        <w:t xml:space="preserve">(g)</w:t>
      </w:r>
      <w:r xml:space="preserve">
        <w:t> </w:t>
      </w:r>
      <w:r xml:space="preserve">
        <w:t> </w:t>
      </w:r>
      <w:r>
        <w:t xml:space="preserve">Notwithstanding the other provisions of this chapter, the governing body of a municipality eligible to enter into tax abatement agreements under Section 312.002 may agree in writing with the owner of real property that is located in a reinvestment zone to exempt from taxation for a period not to exceed five years a portion of the value of the real property or of tangible personal property located on the real property, or both, that is used to provide housing for military personnel employed at a military facility located in or near the municipality.  An agreement may provide for the exemption of the real property in each year covered by the agreement only to the extent its value for that year exceeds its value for the year in which the agreement is executed.  An agreement may provide for the exemption of tangible personal property located on the real property in each year covered by the agreement other than tangible personal property that was located on the real property at any time before the period covered by the agreement with the municipality and other than [</w:t>
      </w:r>
      <w:r>
        <w:rPr>
          <w:strike/>
        </w:rPr>
        <w:t xml:space="preserve">inventory or</w:t>
      </w:r>
      <w:r>
        <w:t xml:space="preserve">] supplies.  The governing body of the municipality may adopt guidelines and criteria for tax abatement agreements entered into under this subsection that are different from the guidelines and criteria that apply to tax abatement agreements entered into under another provision of this section.  Tax abatement agreements entered into under this subsection are not required to contain identical terms for the portion of the value of the property that is to be exempt or for the duration of the exemption as tax abatement agreements entered into with the owners of property in the reinvestment zone under another provision of this section.</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503.038(a),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may cancel a dealer's general distinguishing number if the dealer:</w:t>
      </w:r>
    </w:p>
    <w:p w:rsidR="003F3435" w:rsidRDefault="0032493E">
      <w:pPr>
        <w:spacing w:line="480" w:lineRule="auto"/>
        <w:ind w:firstLine="1440"/>
        <w:jc w:val="both"/>
      </w:pPr>
      <w:r>
        <w:t xml:space="preserve">(1)</w:t>
      </w:r>
      <w:r xml:space="preserve">
        <w:t> </w:t>
      </w:r>
      <w:r xml:space="preserve">
        <w:t> </w:t>
      </w:r>
      <w:r>
        <w:t xml:space="preserve">falsifies or forges a title document, including an affidavit making application for a certified copy of a title;</w:t>
      </w:r>
    </w:p>
    <w:p w:rsidR="003F3435" w:rsidRDefault="0032493E">
      <w:pPr>
        <w:spacing w:line="480" w:lineRule="auto"/>
        <w:ind w:firstLine="1440"/>
        <w:jc w:val="both"/>
      </w:pPr>
      <w:r>
        <w:t xml:space="preserve">(2)</w:t>
      </w:r>
      <w:r xml:space="preserve">
        <w:t> </w:t>
      </w:r>
      <w:r xml:space="preserve">
        <w:t> </w:t>
      </w:r>
      <w:r>
        <w:t xml:space="preserve">files a false or forged tax document, including a sales tax affidavit;</w:t>
      </w:r>
    </w:p>
    <w:p w:rsidR="003F3435" w:rsidRDefault="0032493E">
      <w:pPr>
        <w:spacing w:line="480" w:lineRule="auto"/>
        <w:ind w:firstLine="1440"/>
        <w:jc w:val="both"/>
      </w:pPr>
      <w:r>
        <w:t xml:space="preserve">(3)</w:t>
      </w:r>
      <w:r xml:space="preserve">
        <w:t> </w:t>
      </w:r>
      <w:r xml:space="preserve">
        <w:t> </w:t>
      </w:r>
      <w:r>
        <w:t xml:space="preserve">fails to take assignment of any basic evidence of ownership, including a certificate of title or manufacturer's certificate, for a vehicle the dealer acquires;</w:t>
      </w:r>
    </w:p>
    <w:p w:rsidR="003F3435" w:rsidRDefault="0032493E">
      <w:pPr>
        <w:spacing w:line="480" w:lineRule="auto"/>
        <w:ind w:firstLine="1440"/>
        <w:jc w:val="both"/>
      </w:pPr>
      <w:r>
        <w:t xml:space="preserve">(4)</w:t>
      </w:r>
      <w:r xml:space="preserve">
        <w:t> </w:t>
      </w:r>
      <w:r xml:space="preserve">
        <w:t> </w:t>
      </w:r>
      <w:r>
        <w:t xml:space="preserve">fails to assign any basic evidence of ownership, including a certificate of title or manufacturer's certificate, for a vehicle the dealer sells;</w:t>
      </w:r>
    </w:p>
    <w:p w:rsidR="003F3435" w:rsidRDefault="0032493E">
      <w:pPr>
        <w:spacing w:line="480" w:lineRule="auto"/>
        <w:ind w:firstLine="1440"/>
        <w:jc w:val="both"/>
      </w:pPr>
      <w:r>
        <w:t xml:space="preserve">(5)</w:t>
      </w:r>
      <w:r xml:space="preserve">
        <w:t> </w:t>
      </w:r>
      <w:r xml:space="preserve">
        <w:t> </w:t>
      </w:r>
      <w:r>
        <w:t xml:space="preserve">uses or permits the use of a metal dealer's license plate or a dealer's temporary tag on a vehicle that the dealer does not own or control or that is not in stock and offered for sale;</w:t>
      </w:r>
    </w:p>
    <w:p w:rsidR="003F3435" w:rsidRDefault="0032493E">
      <w:pPr>
        <w:spacing w:line="480" w:lineRule="auto"/>
        <w:ind w:firstLine="1440"/>
        <w:jc w:val="both"/>
      </w:pPr>
      <w:r>
        <w:t xml:space="preserve">(6)</w:t>
      </w:r>
      <w:r xml:space="preserve">
        <w:t> </w:t>
      </w:r>
      <w:r xml:space="preserve">
        <w:t> </w:t>
      </w:r>
      <w:r>
        <w:t xml:space="preserve">makes a material misrepresentation in an application or other information filed with the department;</w:t>
      </w:r>
    </w:p>
    <w:p w:rsidR="003F3435" w:rsidRDefault="0032493E">
      <w:pPr>
        <w:spacing w:line="480" w:lineRule="auto"/>
        <w:ind w:firstLine="1440"/>
        <w:jc w:val="both"/>
      </w:pPr>
      <w:r>
        <w:t xml:space="preserve">(7)</w:t>
      </w:r>
      <w:r xml:space="preserve">
        <w:t> </w:t>
      </w:r>
      <w:r xml:space="preserve">
        <w:t> </w:t>
      </w:r>
      <w:r>
        <w:t xml:space="preserve">fails to maintain the qualifications for a general distinguishing number;</w:t>
      </w:r>
    </w:p>
    <w:p w:rsidR="003F3435" w:rsidRDefault="0032493E">
      <w:pPr>
        <w:spacing w:line="480" w:lineRule="auto"/>
        <w:ind w:firstLine="1440"/>
        <w:jc w:val="both"/>
      </w:pPr>
      <w:r>
        <w:t xml:space="preserve">(8)</w:t>
      </w:r>
      <w:r xml:space="preserve">
        <w:t> </w:t>
      </w:r>
      <w:r xml:space="preserve">
        <w:t> </w:t>
      </w:r>
      <w:r>
        <w:t xml:space="preserve">fails to provide to the department within 30 days after the date of demand by the department satisfactory and reasonable evidence that the person is regularly and actively engaged in business as a wholesale or retail dealer;</w:t>
      </w:r>
    </w:p>
    <w:p w:rsidR="003F3435" w:rsidRDefault="0032493E">
      <w:pPr>
        <w:spacing w:line="480" w:lineRule="auto"/>
        <w:ind w:firstLine="1440"/>
        <w:jc w:val="both"/>
      </w:pPr>
      <w:r>
        <w:t xml:space="preserve">(9)</w:t>
      </w:r>
      <w:r xml:space="preserve">
        <w:t> </w:t>
      </w:r>
      <w:r xml:space="preserve">
        <w:t> </w:t>
      </w:r>
      <w:r>
        <w:t xml:space="preserve">has been licensed for at least 12 months and has not assigned at least five vehicles during the previous 12-month period;</w:t>
      </w:r>
    </w:p>
    <w:p w:rsidR="003F3435" w:rsidRDefault="0032493E">
      <w:pPr>
        <w:spacing w:line="480" w:lineRule="auto"/>
        <w:ind w:firstLine="1440"/>
        <w:jc w:val="both"/>
      </w:pPr>
      <w:r>
        <w:t xml:space="preserve">(10)</w:t>
      </w:r>
      <w:r xml:space="preserve">
        <w:t> </w:t>
      </w:r>
      <w:r xml:space="preserve">
        <w:t> </w:t>
      </w:r>
      <w:r>
        <w:t xml:space="preserve">[</w:t>
      </w:r>
      <w:r>
        <w:rPr>
          <w:strike/>
        </w:rPr>
        <w:t xml:space="preserve">has failed to demonstrate compliance with Sections 23.12, 23.121, and 23.122, Tax Code;</w:t>
      </w:r>
    </w:p>
    <w:p w:rsidR="003F3435" w:rsidRDefault="0032493E">
      <w:pPr>
        <w:spacing w:line="480" w:lineRule="auto"/>
        <w:ind w:firstLine="1440"/>
        <w:jc w:val="both"/>
      </w:pPr>
      <w:r>
        <w:t xml:space="preserve">[</w:t>
      </w:r>
      <w:r>
        <w:rPr>
          <w:strike/>
        </w:rPr>
        <w:t xml:space="preserve">(11)</w:t>
      </w:r>
      <w:r>
        <w:t xml:space="preserve">]</w:t>
      </w:r>
      <w:r xml:space="preserve">
        <w:t> </w:t>
      </w:r>
      <w:r xml:space="preserve">
        <w:t> </w:t>
      </w:r>
      <w:r>
        <w:t xml:space="preserve">uses or allows the use of the dealer's general distinguishing number or the location for which the general distinguishing number is issued to avoid the requirements of this chapter;</w:t>
      </w:r>
    </w:p>
    <w:p w:rsidR="003F3435" w:rsidRDefault="0032493E">
      <w:pPr>
        <w:spacing w:line="480" w:lineRule="auto"/>
        <w:ind w:firstLine="1440"/>
        <w:jc w:val="both"/>
      </w:pPr>
      <w:r>
        <w:rPr>
          <w:u w:val="single"/>
        </w:rPr>
        <w:t xml:space="preserve">(11)</w:t>
      </w:r>
      <w:r xml:space="preserve">
        <w:t> </w:t>
      </w:r>
      <w:r>
        <w:t xml:space="preserve">[</w:t>
      </w:r>
      <w:r>
        <w:rPr>
          <w:strike/>
        </w:rPr>
        <w:t xml:space="preserve">(12)</w:t>
      </w:r>
      <w:r>
        <w:t xml:space="preserve">]</w:t>
      </w:r>
      <w:r xml:space="preserve">
        <w:t> </w:t>
      </w:r>
      <w:r xml:space="preserve">
        <w:t> </w:t>
      </w:r>
      <w:r>
        <w:t xml:space="preserve">misuses or allows the misuse of a temporary tag authorized under this chapter;</w:t>
      </w:r>
    </w:p>
    <w:p w:rsidR="003F3435" w:rsidRDefault="0032493E">
      <w:pPr>
        <w:spacing w:line="480" w:lineRule="auto"/>
        <w:ind w:firstLine="1440"/>
        <w:jc w:val="both"/>
      </w:pPr>
      <w:r>
        <w:rPr>
          <w:u w:val="single"/>
        </w:rPr>
        <w:t xml:space="preserve">(12)</w:t>
      </w:r>
      <w:r xml:space="preserve">
        <w:t> </w:t>
      </w:r>
      <w:r>
        <w:t xml:space="preserve">[</w:t>
      </w:r>
      <w:r>
        <w:rPr>
          <w:strike/>
        </w:rPr>
        <w:t xml:space="preserve">(13)</w:t>
      </w:r>
      <w:r>
        <w:t xml:space="preserve">]</w:t>
      </w:r>
      <w:r xml:space="preserve">
        <w:t> </w:t>
      </w:r>
      <w:r xml:space="preserve">
        <w:t> </w:t>
      </w:r>
      <w:r>
        <w:t xml:space="preserve">refuses to show on a buyer's temporary tag the date of sale or other reasonable information required by the department; or</w:t>
      </w:r>
    </w:p>
    <w:p w:rsidR="003F3435" w:rsidRDefault="0032493E">
      <w:pPr>
        <w:spacing w:line="480" w:lineRule="auto"/>
        <w:ind w:firstLine="1440"/>
        <w:jc w:val="both"/>
      </w:pPr>
      <w:r>
        <w:rPr>
          <w:u w:val="single"/>
        </w:rPr>
        <w:t xml:space="preserve">(13)</w:t>
      </w:r>
      <w:r xml:space="preserve">
        <w:t> </w:t>
      </w:r>
      <w:r>
        <w:t xml:space="preserve">[</w:t>
      </w:r>
      <w:r>
        <w:rPr>
          <w:strike/>
        </w:rPr>
        <w:t xml:space="preserve">(14)</w:t>
      </w:r>
      <w:r>
        <w:t xml:space="preserve">]</w:t>
      </w:r>
      <w:r xml:space="preserve">
        <w:t> </w:t>
      </w:r>
      <w:r xml:space="preserve">
        <w:t> </w:t>
      </w:r>
      <w:r>
        <w:t xml:space="preserve">otherwise violates this chapter or a rule adopted under this chapter.</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The following provisions of the Tax Code are repealed:</w:t>
      </w:r>
    </w:p>
    <w:p w:rsidR="003F3435" w:rsidRDefault="0032493E">
      <w:pPr>
        <w:spacing w:line="480" w:lineRule="auto"/>
        <w:ind w:firstLine="1440"/>
        <w:jc w:val="both"/>
      </w:pPr>
      <w:r>
        <w:t xml:space="preserve">(1)</w:t>
      </w:r>
      <w:r xml:space="preserve">
        <w:t> </w:t>
      </w:r>
      <w:r xml:space="preserve">
        <w:t> </w:t>
      </w:r>
      <w:r>
        <w:t xml:space="preserve">Section 6.24(c);</w:t>
      </w:r>
    </w:p>
    <w:p w:rsidR="003F3435" w:rsidRDefault="0032493E">
      <w:pPr>
        <w:spacing w:line="480" w:lineRule="auto"/>
        <w:ind w:firstLine="1440"/>
        <w:jc w:val="both"/>
      </w:pPr>
      <w:r>
        <w:t xml:space="preserve">(2)</w:t>
      </w:r>
      <w:r xml:space="preserve">
        <w:t> </w:t>
      </w:r>
      <w:r xml:space="preserve">
        <w:t> </w:t>
      </w:r>
      <w:r>
        <w:t xml:space="preserve">Section 11.253(a)(1);</w:t>
      </w:r>
    </w:p>
    <w:p w:rsidR="003F3435" w:rsidRDefault="0032493E">
      <w:pPr>
        <w:spacing w:line="480" w:lineRule="auto"/>
        <w:ind w:firstLine="1440"/>
        <w:jc w:val="both"/>
      </w:pPr>
      <w:r>
        <w:t xml:space="preserve">(3)</w:t>
      </w:r>
      <w:r xml:space="preserve">
        <w:t> </w:t>
      </w:r>
      <w:r xml:space="preserve">
        <w:t> </w:t>
      </w:r>
      <w:r>
        <w:t xml:space="preserve">Section 23.12;</w:t>
      </w:r>
    </w:p>
    <w:p w:rsidR="003F3435" w:rsidRDefault="0032493E">
      <w:pPr>
        <w:spacing w:line="480" w:lineRule="auto"/>
        <w:ind w:firstLine="1440"/>
        <w:jc w:val="both"/>
      </w:pPr>
      <w:r>
        <w:t xml:space="preserve">(4)</w:t>
      </w:r>
      <w:r xml:space="preserve">
        <w:t> </w:t>
      </w:r>
      <w:r xml:space="preserve">
        <w:t> </w:t>
      </w:r>
      <w:r>
        <w:t xml:space="preserve">Section 23.121;</w:t>
      </w:r>
    </w:p>
    <w:p w:rsidR="003F3435" w:rsidRDefault="0032493E">
      <w:pPr>
        <w:spacing w:line="480" w:lineRule="auto"/>
        <w:ind w:firstLine="1440"/>
        <w:jc w:val="both"/>
      </w:pPr>
      <w:r>
        <w:t xml:space="preserve">(5)</w:t>
      </w:r>
      <w:r xml:space="preserve">
        <w:t> </w:t>
      </w:r>
      <w:r xml:space="preserve">
        <w:t> </w:t>
      </w:r>
      <w:r>
        <w:t xml:space="preserve">Section 23.1211;</w:t>
      </w:r>
    </w:p>
    <w:p w:rsidR="003F3435" w:rsidRDefault="0032493E">
      <w:pPr>
        <w:spacing w:line="480" w:lineRule="auto"/>
        <w:ind w:firstLine="1440"/>
        <w:jc w:val="both"/>
      </w:pPr>
      <w:r>
        <w:t xml:space="preserve">(6)</w:t>
      </w:r>
      <w:r xml:space="preserve">
        <w:t> </w:t>
      </w:r>
      <w:r xml:space="preserve">
        <w:t> </w:t>
      </w:r>
      <w:r>
        <w:t xml:space="preserve">Section 23.122;</w:t>
      </w:r>
    </w:p>
    <w:p w:rsidR="003F3435" w:rsidRDefault="0032493E">
      <w:pPr>
        <w:spacing w:line="480" w:lineRule="auto"/>
        <w:ind w:firstLine="1440"/>
        <w:jc w:val="both"/>
      </w:pPr>
      <w:r>
        <w:t xml:space="preserve">(7)</w:t>
      </w:r>
      <w:r xml:space="preserve">
        <w:t> </w:t>
      </w:r>
      <w:r xml:space="preserve">
        <w:t> </w:t>
      </w:r>
      <w:r>
        <w:t xml:space="preserve">Section 23.123;</w:t>
      </w:r>
    </w:p>
    <w:p w:rsidR="003F3435" w:rsidRDefault="0032493E">
      <w:pPr>
        <w:spacing w:line="480" w:lineRule="auto"/>
        <w:ind w:firstLine="1440"/>
        <w:jc w:val="both"/>
      </w:pPr>
      <w:r>
        <w:t xml:space="preserve">(8)</w:t>
      </w:r>
      <w:r xml:space="preserve">
        <w:t> </w:t>
      </w:r>
      <w:r xml:space="preserve">
        <w:t> </w:t>
      </w:r>
      <w:r>
        <w:t xml:space="preserve">Section 23.124;</w:t>
      </w:r>
    </w:p>
    <w:p w:rsidR="003F3435" w:rsidRDefault="0032493E">
      <w:pPr>
        <w:spacing w:line="480" w:lineRule="auto"/>
        <w:ind w:firstLine="1440"/>
        <w:jc w:val="both"/>
      </w:pPr>
      <w:r>
        <w:t xml:space="preserve">(9)</w:t>
      </w:r>
      <w:r xml:space="preserve">
        <w:t> </w:t>
      </w:r>
      <w:r xml:space="preserve">
        <w:t> </w:t>
      </w:r>
      <w:r>
        <w:t xml:space="preserve">Section 23.1241;</w:t>
      </w:r>
    </w:p>
    <w:p w:rsidR="003F3435" w:rsidRDefault="0032493E">
      <w:pPr>
        <w:spacing w:line="480" w:lineRule="auto"/>
        <w:ind w:firstLine="1440"/>
        <w:jc w:val="both"/>
      </w:pPr>
      <w:r>
        <w:t xml:space="preserve">(10)</w:t>
      </w:r>
      <w:r xml:space="preserve">
        <w:t> </w:t>
      </w:r>
      <w:r xml:space="preserve">
        <w:t> </w:t>
      </w:r>
      <w:r>
        <w:t xml:space="preserve">Section 23.1242;</w:t>
      </w:r>
    </w:p>
    <w:p w:rsidR="003F3435" w:rsidRDefault="0032493E">
      <w:pPr>
        <w:spacing w:line="480" w:lineRule="auto"/>
        <w:ind w:firstLine="1440"/>
        <w:jc w:val="both"/>
      </w:pPr>
      <w:r>
        <w:t xml:space="preserve">(11)</w:t>
      </w:r>
      <w:r xml:space="preserve">
        <w:t> </w:t>
      </w:r>
      <w:r xml:space="preserve">
        <w:t> </w:t>
      </w:r>
      <w:r>
        <w:t xml:space="preserve">Section 23.1243;</w:t>
      </w:r>
    </w:p>
    <w:p w:rsidR="003F3435" w:rsidRDefault="0032493E">
      <w:pPr>
        <w:spacing w:line="480" w:lineRule="auto"/>
        <w:ind w:firstLine="1440"/>
        <w:jc w:val="both"/>
      </w:pPr>
      <w:r>
        <w:t xml:space="preserve">(12)</w:t>
      </w:r>
      <w:r xml:space="preserve">
        <w:t> </w:t>
      </w:r>
      <w:r xml:space="preserve">
        <w:t> </w:t>
      </w:r>
      <w:r>
        <w:t xml:space="preserve">Section 23.125;</w:t>
      </w:r>
    </w:p>
    <w:p w:rsidR="003F3435" w:rsidRDefault="0032493E">
      <w:pPr>
        <w:spacing w:line="480" w:lineRule="auto"/>
        <w:ind w:firstLine="1440"/>
        <w:jc w:val="both"/>
      </w:pPr>
      <w:r>
        <w:t xml:space="preserve">(13)</w:t>
      </w:r>
      <w:r xml:space="preserve">
        <w:t> </w:t>
      </w:r>
      <w:r xml:space="preserve">
        <w:t> </w:t>
      </w:r>
      <w:r>
        <w:t xml:space="preserve">Section 23.126;</w:t>
      </w:r>
    </w:p>
    <w:p w:rsidR="003F3435" w:rsidRDefault="0032493E">
      <w:pPr>
        <w:spacing w:line="480" w:lineRule="auto"/>
        <w:ind w:firstLine="1440"/>
        <w:jc w:val="both"/>
      </w:pPr>
      <w:r>
        <w:t xml:space="preserve">(14)</w:t>
      </w:r>
      <w:r xml:space="preserve">
        <w:t> </w:t>
      </w:r>
      <w:r xml:space="preserve">
        <w:t> </w:t>
      </w:r>
      <w:r>
        <w:t xml:space="preserve">Section 23.127;</w:t>
      </w:r>
    </w:p>
    <w:p w:rsidR="003F3435" w:rsidRDefault="0032493E">
      <w:pPr>
        <w:spacing w:line="480" w:lineRule="auto"/>
        <w:ind w:firstLine="1440"/>
        <w:jc w:val="both"/>
      </w:pPr>
      <w:r>
        <w:t xml:space="preserve">(15)</w:t>
      </w:r>
      <w:r xml:space="preserve">
        <w:t> </w:t>
      </w:r>
      <w:r xml:space="preserve">
        <w:t> </w:t>
      </w:r>
      <w:r>
        <w:t xml:space="preserve">Section 23.128;</w:t>
      </w:r>
    </w:p>
    <w:p w:rsidR="003F3435" w:rsidRDefault="0032493E">
      <w:pPr>
        <w:spacing w:line="480" w:lineRule="auto"/>
        <w:ind w:firstLine="1440"/>
        <w:jc w:val="both"/>
      </w:pPr>
      <w:r>
        <w:t xml:space="preserve">(16)</w:t>
      </w:r>
      <w:r xml:space="preserve">
        <w:t> </w:t>
      </w:r>
      <w:r xml:space="preserve">
        <w:t> </w:t>
      </w:r>
      <w:r>
        <w:t xml:space="preserve">Section 23.129; and</w:t>
      </w:r>
    </w:p>
    <w:p w:rsidR="003F3435" w:rsidRDefault="0032493E">
      <w:pPr>
        <w:spacing w:line="480" w:lineRule="auto"/>
        <w:ind w:firstLine="1440"/>
        <w:jc w:val="both"/>
      </w:pPr>
      <w:r>
        <w:t xml:space="preserve">(17)</w:t>
      </w:r>
      <w:r xml:space="preserve">
        <w:t> </w:t>
      </w:r>
      <w:r xml:space="preserve">
        <w:t> </w:t>
      </w:r>
      <w:r>
        <w:t xml:space="preserve">Section 41.47(c-1).</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(a)  This Act applies only to a tax year that begins on or after the effective date of this Act.</w:t>
      </w:r>
    </w:p>
    <w:p w:rsidR="003F3435" w:rsidRDefault="0032493E">
      <w:pPr>
        <w:spacing w:line="480" w:lineRule="auto"/>
        <w:ind w:firstLine="720"/>
        <w:jc w:val="both"/>
      </w:pPr>
      <w:r>
        <w:t xml:space="preserve">(b)</w:t>
      </w:r>
      <w:r xml:space="preserve">
        <w:t> </w:t>
      </w:r>
      <w:r xml:space="preserve">
        <w:t> </w:t>
      </w:r>
      <w:r>
        <w:t xml:space="preserve">Sections 23.121, 23.122, 23.123, 23.124, 23.125, 23.126, 23.127, and 23.128, Tax Code, as repealed by this Act, apply only to an offense committed before the effective date of this Act.  An offense committed before the effective date of this Act is governed by the law in effect on the date the offense was committed, and the former law is continued in effect for that purpose.  For purposes of this subsection, an offense was committed before the effective date of this Act if any element of the offense occurred before that date.</w:t>
      </w:r>
    </w:p>
    <w:p w:rsidR="003F3435" w:rsidRDefault="0032493E">
      <w:pPr>
        <w:spacing w:line="480" w:lineRule="auto"/>
        <w:ind w:firstLine="720"/>
        <w:jc w:val="both"/>
      </w:pPr>
      <w:r>
        <w:t xml:space="preserve">(c)</w:t>
      </w:r>
      <w:r xml:space="preserve">
        <w:t> </w:t>
      </w:r>
      <w:r xml:space="preserve">
        <w:t> </w:t>
      </w:r>
      <w:r>
        <w:t xml:space="preserve">Notwithstanding the changes in law made by this Act to the provisions of the Business &amp; Commerce Code, Tax Code, and Transportation Code amended by this Act and the repeal by this Act of provisions of the Tax Code, each of those provisions, as it existed immediately before January 1, 2024, is continued in effect for the purpose of the levy and collection of an ad valorem tax on inventory imposed before January 1, 2024.</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This Act takes effect January 1, 2024, but only if the constitutional amendment proposed by the 88th Legislature, Regular Session, 2023, authorizing the legislature to exempt from ad valorem taxation a person's inventory is approved by the voters.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