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88R8698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strike/>
        </w:rPr>
        <w:t xml:space="preserve">to recover damages or other relief</w:t>
      </w:r>
      <w:r>
        <w:t xml:space="preserve">] arising from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imminent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w:t xml:space="preserve">] 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construction defect existed in the residence on the date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defect has rendered the residence uninhabitable.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Subsections (d-1) and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 claimant must act with reasonable diligence after discovery and investigation of a construction defect to send the written notice.  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rPr>
          <w:strike/>
        </w:rPr>
        <w:t xml:space="preserve">videotapes, if that evidence would be discoverable under Rule 192, Texas Rules of Civil Procedure</w:t>
      </w:r>
      <w:r>
        <w:t xml:space="preserv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court or arbitration tribunal orders the action abated under Subsection (d), the court or tribunal may award the contractor reasonable and necessary attorney's fees incurred by the contractor to seek the abatement.</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w:t>
      </w:r>
      <w:r>
        <w:rPr>
          <w:u w:val="single"/>
        </w:rPr>
        <w:t xml:space="preserve">, and no other damages,</w:t>
      </w:r>
      <w:r>
        <w:t xml:space="preserve">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and</w:t>
      </w:r>
    </w:p>
    <w:p w:rsidR="003F3435" w:rsidRDefault="0032493E">
      <w:pPr>
        <w:spacing w:line="480" w:lineRule="auto"/>
        <w:ind w:firstLine="1440"/>
        <w:jc w:val="both"/>
      </w:pPr>
      <w:r>
        <w:t xml:space="preserve">(6)</w:t>
      </w:r>
      <w:r xml:space="preserve">
        <w:t> </w:t>
      </w:r>
      <w:r xml:space="preserve">
        <w:t> </w:t>
      </w:r>
      <w:r>
        <w:t xml:space="preserve">reasonable and necessary attorney's fees.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delayed giving written notice to the 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failed to provide the contractor evidence depicting the nature and cause of the defect and the nature and extent of repairs necessary to remedy the defect, including reports, photographs, videos, or any other evidence available at the time of the original notice;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27, Property Code, is amended by adding Section 27.008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Sections 27.004(f) and (l);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