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88R4336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the market value of property for ad valorem tax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23.0101,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23.0101.</w:t>
      </w:r>
      <w:r xml:space="preserve">
        <w:t> </w:t>
      </w:r>
      <w:r xml:space="preserve">
        <w:t> </w:t>
      </w:r>
      <w:r>
        <w:t xml:space="preserve">CONSIDERATION OF ALTERNATE APPRAISAL METHODS. 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"commercial real property" means real property zoned or otherwise authorized for and actually used for a purpose other than single-family use, multifamily use, heavy industrial use, or use as a quarry.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  Except as provided by Subsection (c), in</w:t>
      </w:r>
      <w:r>
        <w:t xml:space="preserve"> [</w:t>
      </w:r>
      <w:r>
        <w:rPr>
          <w:strike/>
        </w:rPr>
        <w:t xml:space="preserve">In</w:t>
      </w:r>
      <w:r>
        <w:t xml:space="preserve">] determining the market value of property, the chief appraiser shall consider the cost, income, and market data comparison methods of appraisal and use the most appropriate method.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appraiser may not use the income method of appraisal to determine the market value of commercial real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23.012(a),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If the </w:t>
      </w:r>
      <w:r>
        <w:rPr>
          <w:u w:val="single"/>
        </w:rPr>
        <w:t xml:space="preserve">chief appraiser uses the income method of appraisal</w:t>
      </w:r>
      <w:r>
        <w:t xml:space="preserve"> [</w:t>
      </w:r>
      <w:r>
        <w:rPr>
          <w:strike/>
        </w:rPr>
        <w:t xml:space="preserve">income method of appraisal is the most appropriate method to use</w:t>
      </w:r>
      <w:r>
        <w:t xml:space="preserve">] to determine the market value of real property, the chief appraiser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analyze comparable rental data available to the chief appraiser or the potential earnings capacity of the property, or both, to estimate the gross income potential of the property;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analyze comparable operating expense data available to the chief appraiser to estimate the operating expenses of the property;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analyze comparable data available to the chief appraiser to estimate rates of capitalization or rates of discount;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base projections of future rent or income potential and expenses on reasonably clear and appropriate evidence.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the determination of the market value of property for ad valorem tax purposes for a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