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88R7447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suicide awareness and prevention training for certain employees of the Texas Veterans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434, Government Code, is amended by adding Section 434.0145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434.0145.</w:t>
      </w:r>
      <w:r>
        <w:rPr>
          <w:u w:val="single"/>
        </w:rPr>
        <w:t xml:space="preserve"> </w:t>
      </w:r>
      <w:r>
        <w:rPr>
          <w:u w:val="single"/>
        </w:rPr>
        <w:t xml:space="preserve"> </w:t>
      </w:r>
      <w:r>
        <w:rPr>
          <w:u w:val="single"/>
        </w:rPr>
        <w:t xml:space="preserve">TRAINING FOR EMPLOYEES REGARDING SUICIDE AWARENESS AND PREVENTION.  The commission shall provide training regarding suicide awareness and prevention to commission employees who have direct contact with veterans. The training must include instruction regarding suicide awareness and prevention with information and materials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for identifying the signs and signals of depression, suicide, and self-harm in veterans;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importance of and process for seeking help for  veterans at risk of suicide;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veteran suicide prevention and intervention procedures and resources outlined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veteran suicide prevention action plan under Section 531.0925;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mental health intervention program for veterans under Section 1001.222,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