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88R6581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grounds for terminating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t xml:space="preserve">Section 21.11 (indecency with a child);</w:t>
      </w:r>
    </w:p>
    <w:p w:rsidR="003F3435" w:rsidRDefault="0032493E">
      <w:pPr>
        <w:spacing w:line="480" w:lineRule="auto"/>
        <w:ind w:firstLine="2880"/>
        <w:jc w:val="both"/>
      </w:pPr>
      <w:r>
        <w:t xml:space="preserve">(v)</w:t>
      </w:r>
      <w:r xml:space="preserve">
        <w:t> </w:t>
      </w:r>
      <w:r xml:space="preserve">
        <w:t> </w:t>
      </w:r>
      <w:r>
        <w:t xml:space="preserve">Section 22.01 (assault);</w:t>
      </w:r>
    </w:p>
    <w:p w:rsidR="003F3435" w:rsidRDefault="0032493E">
      <w:pPr>
        <w:spacing w:line="480" w:lineRule="auto"/>
        <w:ind w:firstLine="2880"/>
        <w:jc w:val="both"/>
      </w:pPr>
      <w:r>
        <w:t xml:space="preserve">(vi)</w:t>
      </w:r>
      <w:r xml:space="preserve">
        <w:t> </w:t>
      </w:r>
      <w:r xml:space="preserve">
        <w:t> </w:t>
      </w:r>
      <w:r>
        <w:t xml:space="preserve">Section 22.011 (sexual assault);</w:t>
      </w:r>
    </w:p>
    <w:p w:rsidR="003F3435" w:rsidRDefault="0032493E">
      <w:pPr>
        <w:spacing w:line="480" w:lineRule="auto"/>
        <w:ind w:firstLine="2880"/>
        <w:jc w:val="both"/>
      </w:pPr>
      <w:r>
        <w:t xml:space="preserve">(vii)</w:t>
      </w:r>
      <w:r xml:space="preserve">
        <w:t> </w:t>
      </w:r>
      <w:r xml:space="preserve">
        <w:t> </w:t>
      </w:r>
      <w:r>
        <w:t xml:space="preserve">Section 22.02 (aggravated assault);</w:t>
      </w:r>
    </w:p>
    <w:p w:rsidR="003F3435" w:rsidRDefault="0032493E">
      <w:pPr>
        <w:spacing w:line="480" w:lineRule="auto"/>
        <w:ind w:firstLine="2880"/>
        <w:jc w:val="both"/>
      </w:pPr>
      <w:r>
        <w:t xml:space="preserve">(viii)</w:t>
      </w:r>
      <w:r xml:space="preserve">
        <w:t> </w:t>
      </w:r>
      <w:r xml:space="preserve">
        <w:t> </w:t>
      </w:r>
      <w:r>
        <w:t xml:space="preserve">Section 22.021 (aggravated sexual assault);</w:t>
      </w:r>
    </w:p>
    <w:p w:rsidR="003F3435" w:rsidRDefault="0032493E">
      <w:pPr>
        <w:spacing w:line="480" w:lineRule="auto"/>
        <w:ind w:firstLine="2880"/>
        <w:jc w:val="both"/>
      </w:pPr>
      <w:r>
        <w:t xml:space="preserve">(ix)</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22.041 (abandoning or endangering child);</w:t>
      </w:r>
    </w:p>
    <w:p w:rsidR="003F3435" w:rsidRDefault="0032493E">
      <w:pPr>
        <w:spacing w:line="480" w:lineRule="auto"/>
        <w:ind w:firstLine="2880"/>
        <w:jc w:val="both"/>
      </w:pPr>
      <w:r>
        <w:t xml:space="preserve">(xi)</w:t>
      </w:r>
      <w:r xml:space="preserve">
        <w:t> </w:t>
      </w:r>
      <w:r xml:space="preserve">
        <w:t> </w:t>
      </w:r>
      <w:r>
        <w:t xml:space="preserve">Section 25.02 (prohibited sexual conduct);</w:t>
      </w:r>
    </w:p>
    <w:p w:rsidR="003F3435" w:rsidRDefault="0032493E">
      <w:pPr>
        <w:spacing w:line="480" w:lineRule="auto"/>
        <w:ind w:firstLine="2880"/>
        <w:jc w:val="both"/>
      </w:pPr>
      <w:r>
        <w:t xml:space="preserve">(xii)</w:t>
      </w:r>
      <w:r xml:space="preserve">
        <w:t> </w:t>
      </w:r>
      <w:r xml:space="preserve">
        <w:t> </w:t>
      </w:r>
      <w:r>
        <w:t xml:space="preserve">Section 43.25 (sexual performance by a child);</w:t>
      </w:r>
    </w:p>
    <w:p w:rsidR="003F3435" w:rsidRDefault="0032493E">
      <w:pPr>
        <w:spacing w:line="480" w:lineRule="auto"/>
        <w:ind w:firstLine="2880"/>
        <w:jc w:val="both"/>
      </w:pPr>
      <w:r>
        <w:t xml:space="preserve">(xiii)</w:t>
      </w:r>
      <w:r xml:space="preserve">
        <w:t> </w:t>
      </w:r>
      <w:r xml:space="preserve">
        <w:t> </w:t>
      </w:r>
      <w:r>
        <w:t xml:space="preserve">Section 43.26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20A.02(a)(7) or (8) (trafficking of persons); and</w:t>
      </w:r>
    </w:p>
    <w:p w:rsidR="003F3435" w:rsidRDefault="0032493E">
      <w:pPr>
        <w:spacing w:line="480" w:lineRule="auto"/>
        <w:ind w:firstLine="2880"/>
        <w:jc w:val="both"/>
      </w:pPr>
      <w:r>
        <w:t xml:space="preserve">(xvi)</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w:t>
      </w:r>
      <w:r>
        <w:rPr>
          <w:strike/>
        </w:rPr>
        <w:t xml:space="preserve">or</w:t>
      </w:r>
      <w:r>
        <w:t xml:space="preserve">]</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w:t>
      </w:r>
      <w:r>
        <w:rPr>
          <w:u w:val="single"/>
        </w:rPr>
        <w:t xml:space="preserve">or</w:t>
      </w:r>
    </w:p>
    <w:p w:rsidR="003F3435" w:rsidRDefault="0032493E">
      <w:pPr>
        <w:spacing w:line="480" w:lineRule="auto"/>
        <w:ind w:firstLine="2160"/>
        <w:jc w:val="both"/>
      </w:pPr>
      <w:r>
        <w:rPr>
          <w:u w:val="single"/>
        </w:rPr>
        <w:t xml:space="preserve">(V)</w:t>
      </w:r>
      <w:r>
        <w:rPr>
          <w:u w:val="single"/>
        </w:rPr>
        <w:t xml:space="preserve"> </w:t>
      </w:r>
      <w:r>
        <w:rPr>
          <w:u w:val="single"/>
        </w:rPr>
        <w:t xml:space="preserve"> </w:t>
      </w:r>
      <w:r>
        <w:rPr>
          <w:u w:val="single"/>
        </w:rPr>
        <w:t xml:space="preserve">had a protective order issued against the parent under Chapter 85 and the court made a finding under Section 85.025(a-1)(1) that the parent committed an act constituting an offense listed under Paragraph (L) of this subdivision;</w:t>
      </w:r>
      <w:r>
        <w:t xml:space="preserv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suit affecting the parent-child relationship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