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888</w:t>
      </w:r>
    </w:p>
    <w:p w:rsidR="003F3435" w:rsidRDefault="0032493E">
      <w:pPr>
        <w:ind w:firstLine="720"/>
        <w:jc w:val="both"/>
      </w:pPr>
      <w:r>
        <w:t xml:space="preserve">(Frank)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before September 1, 1989;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with a population of less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