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Local Government;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888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fire escape exemptions for certain courthouses.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791.004, Health and Safety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 a county courthouse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before September 1, 1989;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with a population of less than 50,000.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