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889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rPr>
          <w:u w:val="single"/>
        </w:rPr>
        <w:t xml:space="preserve">a current or former</w:t>
      </w:r>
      <w:r>
        <w:t xml:space="preserve"> [</w:t>
      </w:r>
      <w:r>
        <w:rPr>
          <w:strike/>
        </w:rPr>
        <w:t xml:space="preserve">an</w:t>
      </w:r>
      <w:r>
        <w:t xml:space="preserve">] elected public officer </w:t>
      </w:r>
      <w:r>
        <w:rPr>
          <w:u w:val="single"/>
        </w:rPr>
        <w:t xml:space="preserve">or a current or former employee of such an officer</w:t>
      </w:r>
      <w:r>
        <w:t xml:space="preserve">;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employee or contract staff member of a university health care provider at a corrections facility operated by the Texas Department of Criminal Justice or the Texas Juvenile Justice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