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88R7544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correction of a certificate of public convenience and necessity for providing water or sewer utility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13.244, Water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director, at the discretion of the executive director or at the request of the certificate holder, may make a correction to a certificate of public convenience and necessity, without observing formal amendment procedures, by reissuing the certificate or issuing an endorsement to the certificate. </w:t>
      </w:r>
      <w:r>
        <w:rPr>
          <w:u w:val="single"/>
        </w:rPr>
        <w:t xml:space="preserve"> </w:t>
      </w:r>
      <w:r>
        <w:rPr>
          <w:u w:val="single"/>
        </w:rPr>
        <w:t xml:space="preserve">The executive director shall notify the certificate holder that the correction has been made and ensure that the reissued certificate or endorsement is recorded in the commission's records. </w:t>
      </w:r>
      <w:r>
        <w:rPr>
          <w:u w:val="single"/>
        </w:rPr>
        <w:t xml:space="preserve"> </w:t>
      </w:r>
      <w:r>
        <w:rPr>
          <w:u w:val="single"/>
        </w:rPr>
        <w:t xml:space="preserve">The executive director may make a correction under this subsection only: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correct a clerical or typographical error;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change the mailing address of the certificate holder to match updated contact information provided by the certificate holder;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change the name of an incorporated certificate holder on a certificate if: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amendment to the certificate holder's articles of incorporation or certificate of formation, as applicable, is filed with the secretary of state that only changes the name of the certificate holder;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certificate holder provides verification from the secretary of state to the commission that the amendment only changed the name of the certificate holder;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describe accurately the boundaries of the certificated area;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correct a mapping error in a certificate to reflect the metes and bounds of the certificated area;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correct another similar nonsubstantive error or matter if authorized by the commission by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13.246(j),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This section does not apply to an application under Section 13.258 </w:t>
      </w:r>
      <w:r>
        <w:rPr>
          <w:u w:val="single"/>
        </w:rPr>
        <w:t xml:space="preserve">or a correction under Section 13.244(e)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