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2023; March</w:t>
      </w:r>
      <w:r xml:space="preserve">
        <w:t> </w:t>
      </w:r>
      <w:r>
        <w:t xml:space="preserve">1,</w:t>
      </w:r>
      <w:r xml:space="preserve">
        <w:t> </w:t>
      </w:r>
      <w:r>
        <w:t xml:space="preserve">2023, read first time and referred to Committee on Water, Agriculture &amp; Rural Affairs;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893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correction of a certificate of public convenience and necessity for providing water or sewer utility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13.244, Water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of the utility commission, at the discretion of the executive director of the utility commission or on the request of the certificate holder, may make a correction to a certificate of public convenience and necessity, without observing formal amendment procedures, by reissuing the certificate or issuing an endorsement to the certificate. </w:t>
      </w:r>
      <w:r>
        <w:rPr>
          <w:u w:val="single"/>
        </w:rPr>
        <w:t xml:space="preserve"> </w:t>
      </w:r>
      <w:r>
        <w:rPr>
          <w:u w:val="single"/>
        </w:rPr>
        <w:t xml:space="preserve">The executive director of the utility commission shall notify the certificate holder that the correction has been made and ensure that the reissued certificate or endorsement is recorded in the commission's records. </w:t>
      </w:r>
      <w:r>
        <w:rPr>
          <w:u w:val="single"/>
        </w:rPr>
        <w:t xml:space="preserve"> </w:t>
      </w:r>
      <w:r>
        <w:rPr>
          <w:u w:val="single"/>
        </w:rPr>
        <w:t xml:space="preserve">The executive director of the utility commission</w:t>
      </w:r>
      <w:r>
        <w:rPr>
          <w:u w:val="single"/>
        </w:rPr>
        <w:t xml:space="preserve"> </w:t>
      </w:r>
      <w:r>
        <w:rPr>
          <w:u w:val="single"/>
        </w:rPr>
        <w:t xml:space="preserve">may make a correction under this subsection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correct a clerical or typographical error;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change the name of an incorporated certificate holder on a certificate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amendment to the certificate holder's articles of incorporation or certificate of formation, as applicable, is filed with the secretary of state that only changes the name of the certificate holder;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certificate holder provides verification from the secretary of state to the commission that the amendment only changed the name of the certificate 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correct a mapping error in a certificate to reflect the metes and bounds of the certificated area;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correct another similar nonsubstantive error or matter if authorized by the commission by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of the utility commission may not make a correction under Subsection (e)(3) unless the certificate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to the executive director of the utility commission a written agreement between all affected persons about the correction;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notice of the correction to any customers of the certificate holder affected by the correction.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13.246(j),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does not apply to an application under Section 13.258 </w:t>
      </w:r>
      <w:r>
        <w:rPr>
          <w:u w:val="single"/>
        </w:rPr>
        <w:t xml:space="preserve">or a correction under Section 13.244(e)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