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Bettencourt</w:t>
      </w:r>
      <w:r xml:space="preserve">
        <w:tab wTab="150" tlc="none" cTlc="0"/>
      </w:r>
      <w:r>
        <w:t xml:space="preserve">S.B.</w:t>
      </w:r>
      <w:r xml:space="preserve">
        <w:t> </w:t>
      </w:r>
      <w:r>
        <w:t xml:space="preserve">No.</w:t>
      </w:r>
      <w:r xml:space="preserve">
        <w:t> </w:t>
      </w:r>
      <w:r>
        <w:t xml:space="preserve">896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automatic stay of proceedings pending an interlocutory appeal of a denial of a motion to dismiss in an action involving the exercise of certain constitutional rights.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51.014, Civil Practice and Remedies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denial of a motion to dismiss described by Subsection (a)(12) is not subject to the automatic stay under Subsection (b) if the order denying the motion states that the motion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denied as clearly not timely filed under Section 27.003(b);</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determined to be frivolous or solely intended to delay under Section 27.009(b);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denied because the action is exempt under Section 27.010(a).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action filed on or after the effective date of this Act. </w:t>
      </w:r>
      <w:r>
        <w:t xml:space="preserve"> </w:t>
      </w:r>
      <w:r>
        <w:t xml:space="preserve">An action filed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