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88R9988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liens on aircraft for certain charges.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70.301, Property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the fueling of an aircraft without regard to whether the fueling is performed within or outside of this state or the United States. </w:t>
      </w:r>
      <w:r>
        <w:rPr>
          <w:u w:val="single"/>
        </w:rPr>
        <w:t xml:space="preserve"> </w:t>
      </w:r>
      <w:r>
        <w:rPr>
          <w:u w:val="single"/>
        </w:rPr>
        <w:t xml:space="preserve">This subsection does not apply to the fueling of an aircraft owned, leased, or operated by or on behalf of an air carrier that is certificated to conduct scheduled air transportation services under 14 C.F.R. Part 121.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70.301(c), Property Code, as added by this Act, applies only to the fueling of an aircraft performed on or after the effective date of this Act.  The fueling of an aircraft performed before the effective date of this Act is governed by the law applicable to the fueling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