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88R4273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relocation, adjustment, and ownership of commercial and outdoor signs.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391, Transportation Code, is amended by adding Sections 391.0331 and 391.037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391.0331.</w:t>
      </w:r>
      <w:r>
        <w:rPr>
          <w:u w:val="single"/>
        </w:rPr>
        <w:t xml:space="preserve"> </w:t>
      </w:r>
      <w:r>
        <w:rPr>
          <w:u w:val="single"/>
        </w:rPr>
        <w:t xml:space="preserve"> </w:t>
      </w:r>
      <w:r>
        <w:rPr>
          <w:u w:val="single"/>
        </w:rPr>
        <w:t xml:space="preserve">RELOCATION BECAUSE OF HIGHWAY CONSTRUCTION, PUBLIC INFRASTRUCTURE, OR PUBLIC IMPROVEMENT.  (a) </w:t>
      </w:r>
      <w:r>
        <w:rPr>
          <w:u w:val="single"/>
        </w:rPr>
        <w:t xml:space="preserve"> </w:t>
      </w:r>
      <w:r>
        <w:rPr>
          <w:u w:val="single"/>
        </w:rPr>
        <w:t xml:space="preserve">If a commercial sign use, structure, or permit may not be continued because of the widening, construction, or reconstruction of a highway, the installation, expansion, or construction of public infrastructure, or the undertaking of a public improvement project by a public improvement district, the owner of the commercial sign is entitled to relocate the use, structure, or permit to another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same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adjacent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same highway not more than one mile from the previous location;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commercial sign is within a municipality or the extraterritorial jurisdiction of a municipality, within that municipality or its extraterritorial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Relocation under this section shall be to a location where a commercial sign is permitted under Section 391.031.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or municipality in which the use or structure is located shall, if necessary, provide for the relocation by a special exception to any applicable zoning ordinance.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governmental entity, quasi-governmental entity, or public utility that acquires a commercial sign by eminent domain or causes the need for the commercial sign to be relocated under this section shall pay the costs related to the acquisition or relocation.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391.037.</w:t>
      </w:r>
      <w:r>
        <w:rPr>
          <w:u w:val="single"/>
        </w:rPr>
        <w:t xml:space="preserve"> </w:t>
      </w:r>
      <w:r>
        <w:rPr>
          <w:u w:val="single"/>
        </w:rPr>
        <w:t xml:space="preserve"> </w:t>
      </w:r>
      <w:r>
        <w:rPr>
          <w:u w:val="single"/>
        </w:rPr>
        <w:t xml:space="preserve">OBSTRUCTION OF VIEW AND READABILITY.  (a) </w:t>
      </w:r>
      <w:r>
        <w:rPr>
          <w:u w:val="single"/>
        </w:rPr>
        <w:t xml:space="preserve"> </w:t>
      </w:r>
      <w:r>
        <w:rPr>
          <w:u w:val="single"/>
        </w:rPr>
        <w:t xml:space="preserve">If the view and readability of a commercial sign are obstructed due to a noise abatement or safety measure, a grade change, vegetation, construction, an aesthetic improvement made by an agency of this state, a directional sign, or widening along a highway, the owner of the sign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the height of the sign;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relocate the sign to a location within 500 feet of its previous location, if the sign complies with the spacing requirements under this chapter and is in a location in which a commercial sign is permitted under Section 391.031.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municipality in which the commercial sign is located shall, if necessary, provide for the height adjustment or relocation by a special exception to any applicable zoning ordinance.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height requirements established under this subtitle, the adjusted or relocated commercial sign may be erected to a height and angle to make it clearly visible to traffic on the main-traveled way of the highway and must be the same size as the previous sign.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6, Transportation Code, is amended by adding Chapter 398 to read as follows:</w:t>
      </w:r>
    </w:p>
    <w:p w:rsidR="003F3435" w:rsidRDefault="0032493E">
      <w:pPr>
        <w:spacing w:line="480" w:lineRule="auto"/>
        <w:jc w:val="center"/>
      </w:pPr>
      <w:r>
        <w:rPr>
          <w:u w:val="single"/>
        </w:rPr>
        <w:t xml:space="preserve">CHAPTER 398. </w:t>
      </w:r>
      <w:r>
        <w:rPr>
          <w:u w:val="single"/>
        </w:rPr>
        <w:t xml:space="preserve"> </w:t>
      </w:r>
      <w:r>
        <w:rPr>
          <w:u w:val="single"/>
        </w:rPr>
        <w:t xml:space="preserve">PROVISIONS GENERALLY APPLICABLE TO OUTDOOR SIGNS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"off-premise sign" means an outdoor sign displaying advertising that pertains to a business, person, organization, activity, event, place, service, or product not principally located or primarily manufactured or sold on the premises on which the sign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RIGHTS OF OWNER OF CERTAIN SIGNS.  The rights associated with an off-premise sign that is lawfully in existence but no longer complies with current applicable laws and regulations, including laws and regulations promulgated under Chapters 391 and 394 of this code, and Chapter 216, Local Government Code, vest in the owner of the off-premise sign.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