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S.B.</w:t>
      </w:r>
      <w:r xml:space="preserve">
        <w:t> </w:t>
      </w:r>
      <w:r>
        <w:t xml:space="preserve">No.</w:t>
      </w:r>
      <w:r xml:space="preserve">
        <w:t> </w:t>
      </w:r>
      <w:r>
        <w:t xml:space="preserve">904</w:t>
      </w:r>
    </w:p>
    <w:p w:rsidR="003F3435" w:rsidRDefault="0032493E">
      <w:pPr>
        <w:ind w:firstLine="720"/>
        <w:jc w:val="both"/>
      </w:pPr>
      <w:r>
        <w:t xml:space="preserve">(Landgraf)</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offense of the unauthorized use of parking designated for persons with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681.011, Transportation Code, is amended by adding Subsections (f-1) and (f-2)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It is not a defense to prosecution for an offense under Subsection (a) or (b) that the parking space or area designated specifically for persons with disabilities is not designated in compliance with the standards and specifications referred to in Section 681.009(b) if the parking space or area is generally in compliance with those standards and specifications and is clearly distinguishable as being designated specifically for persons with disabilities.</w:t>
      </w:r>
      <w:r>
        <w:t xml:space="preserve"> </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A peace officer may issue a warning but may not issue a citation for an offense under Subsection (a) or (b) to a person who stands a vehicle in a parking space or area designated specifically for persons with disabilities that does not have a parking space identification sign identifying the parking space in accordance with the requirements of the standards and specifications referred to in Section 681.009(b).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