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88R1635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a majority vote in certain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2, Election Code, is amended by adding Section 2.0215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2.0215.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DETERMINATION OF MAJORITY VOTE.  (a)  In this section, "preferential voting system"</w:t>
      </w:r>
      <w:r>
        <w:rPr>
          <w:u w:val="single"/>
        </w:rPr>
        <w:t xml:space="preserve"> </w:t>
      </w:r>
      <w:r>
        <w:rPr>
          <w:u w:val="single"/>
        </w:rPr>
        <w:t xml:space="preserve">means a voting system which permits a voter to rank each candidate through a numerical designation from the candidate the voter favors most to the candidate the voter favors least.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election requiring a majority vote to be elected to a public office, a candidate must receive more than half of the votes as originally cast.  A majority may not be determined by using a preferential voting system to reassign votes.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rPr>
          <w:u w:val="single"/>
        </w:rPr>
        <w:t xml:space="preserve">2.0215,</w:t>
      </w:r>
      <w:r>
        <w:t xml:space="preserve"> 2.023, 2.025, and 2.028 supersede a law outside this subchapter to the extent of any conflict.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