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combination of certain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[</w:t>
      </w:r>
      <w:r>
        <w:rPr>
          <w:strike/>
        </w:rPr>
        <w:t xml:space="preserve">otherwise</w:t>
      </w:r>
      <w:r>
        <w:t xml:space="preserve">] provided by this section </w:t>
      </w:r>
      <w:r>
        <w:rPr>
          <w:u w:val="single"/>
        </w:rPr>
        <w:t xml:space="preserve">and Section 42.0051</w:t>
      </w:r>
      <w:r>
        <w:t xml:space="preserve">, a county election precinct must contain at least 100 but not more than 5,000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 with a population of less than 1.2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general or special election for which use of county election precincts is required, the commissioner's court</w:t>
      </w:r>
      <w:r>
        <w:t xml:space="preserve"> [</w:t>
      </w:r>
      <w:r>
        <w:rPr>
          <w:strike/>
        </w:rPr>
        <w:t xml:space="preserve">If changes in county election precinct boundaries to give effect to a redistricting plan result in county election precincts with a number of registered voters less than 500, a commissioners court for a general or special election, or for a primary election the county executive committee of a political party conducting a primary election,</w:t>
      </w:r>
      <w:r>
        <w:t xml:space="preserve">] may</w:t>
      </w:r>
      <w:r>
        <w:rPr>
          <w:u w:val="single"/>
        </w:rPr>
        <w:t xml:space="preserve">, on the recommendation of the county election board,</w:t>
      </w:r>
      <w:r>
        <w:t xml:space="preserve"> combine county election precincts notwithstanding Section 42.005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cannot secure a suitable polling place location under Section 43.031;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combined polling place adequately serves the voters of the combined precinct</w:t>
      </w:r>
      <w:r>
        <w:t xml:space="preserve"> [</w:t>
      </w:r>
      <w:r>
        <w:rPr>
          <w:strike/>
        </w:rPr>
        <w:t xml:space="preserve">to avoid unreasonable expenditures for election equipment, supplies, and personnel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combined precinct under this section </w:t>
      </w:r>
      <w:r>
        <w:rPr>
          <w:u w:val="single"/>
        </w:rPr>
        <w:t xml:space="preserve">may not contain more than 10,000 registered voters</w:t>
      </w:r>
      <w:r>
        <w:t xml:space="preserve"> [</w:t>
      </w:r>
      <w:r>
        <w:rPr>
          <w:strike/>
        </w:rPr>
        <w:t xml:space="preserve">is subject to the maximum population prescribed for a precinct under Section 42.006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