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930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publication of opinions by a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PUBLICATION OF OPINIONS.  The authorship of an opinion published by a court is public information. </w:t>
      </w:r>
      <w:r>
        <w:rPr>
          <w:u w:val="single"/>
        </w:rPr>
        <w:t xml:space="preserve"> </w:t>
      </w:r>
      <w:r>
        <w:rPr>
          <w:u w:val="single"/>
        </w:rPr>
        <w:t xml:space="preserve">A court shall list the author or authors of any opinion published by the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opinion published by a court on or after the effective date of this Act.  A court opinion published before the effective date of this Act is governed by the law in effect on the date the opinion was published,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