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931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remote vehicle disabling technology capable of being activated or engaged by a motor vehicle manufacturer or governmental entity;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547, Transportation Code, is amended by adding Section 547.619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547.619.</w:t>
      </w:r>
      <w:r>
        <w:rPr>
          <w:u w:val="single"/>
        </w:rPr>
        <w:t xml:space="preserve"> </w:t>
      </w:r>
      <w:r>
        <w:rPr>
          <w:u w:val="single"/>
        </w:rPr>
        <w:t xml:space="preserve"> </w:t>
      </w:r>
      <w:r>
        <w:rPr>
          <w:u w:val="single"/>
        </w:rPr>
        <w:t xml:space="preserve">REMOTE VEHICLE DISABLING TECHNOLOGY;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"Governmental entity" means an agency of the United States, this state, or a local government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"Remote vehicle disabling technology" means any application or device, including software, firmware, and hardware, that, when activated or engaged, allows a person to disable the operation of a motor vehicle.  The term does not include an ignition interlock device as defined by Article 42A.408,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manufactures, distributes, or possesses with intent to distribute remote vehicle disabling technology that is capable of being: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activated or engaged by a motor vehicle manufacturer or governmental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installed on a light truck or passenger car;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installs on a light truck or passenger car remote vehicle disabling technology that is capable of being activated or engaged by the vehicle manufacturer or a governmental 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sells a light truck or passenger car on which has been installed remote vehicle disabling technology that is capable of being activated or engaged by the vehicle manufacturer or a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 holder under Chapter 2301, Occupations Code, who commits an offense under this section is subject to the revocation of the license under Section 2301.651(a)(4),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