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Middleton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932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declaration of a candidate's ineligibility and to the prohibition of the candidate's placement on the ballot.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145.003, Election Code, is amended by amending Subsection (f) and adding Subsection (f-1)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candidate may be declared ineligible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information on the candidate's application for a place on the ballot indicates that the candidate is ineligible for the office;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facts indicating that the candidate is ineligible are conclusively established by another public record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candidate fails to pay the filing fee or submit a petition in lieu of a filing fee that satisfies the requirements prescribed by Section 141.062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authority responsible for preparing the ballots shall omit a candidate from the ballot if the candidate is declared ineligible under Subsection 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932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