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Kolkhorst, 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943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publication of notices by a governmental entity on the Internet websites of a newspaper and the Texas Press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2051, Government Code, is amended by adding Section 2051.054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INTERNET PUBLICATION OF NOTICES.  (a)  Subsections (b)(2) and (c) apply only if the Texas Press Association maintains an Internet website as a statewide repository of notices.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newspaper that publishes a notice shall, at no additional cost to the governmental entity placing the notice: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notice on one or more webpages on the newspaper's Internet website, if the newspaper maintains a website, that are: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clearly designated for notices;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accessible to the public at no cost;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deliver the notice to the Texas Press Association for the association to publish on the association's Internet website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Press Association shall publish each notice it receives from a newspaper under Subsection (b)(2) on the association's Internet website described by Subsection (a). The association must ensure that the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accessible to the public at no cost;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updated as notices are received;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searchable and sortable by subject matter, location, and both subject matter and location;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offers an e-mail notification service to which a person may electronically subscribe to receive notifications that a notice has been published on the website and that allows the subscriber to limit the notifications by subject matter, location, or both subject matter and location.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required to publish a notice on an Internet website under this section shall archive the notice on the website in its entirety, including the date the notice is published.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validity of a notice printed in a newspaper and published on an Internet website under this section is not affected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there is an error in the notice published on the website;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publication of the notice on the website is temporarily prevented as the result of a technical issue with the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notice published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