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943</w:t>
      </w:r>
    </w:p>
    <w:p w:rsidR="003F3435" w:rsidRDefault="0032493E">
      <w:pPr>
        <w:ind w:firstLine="720"/>
        <w:jc w:val="both"/>
      </w:pPr>
      <w:r>
        <w:t xml:space="preserve">(Hunter)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publication of notices by a governmental entity on the Internet websites of a newspaper and the Texas Press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2051, Government Code, is amended by adding Section 2051.054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INTERNET PUBLICATION OF NOTICES.  (a)  Subsections (b)(2) and (c) apply only if the Texas Press Association maintains an Internet website as a statewide repository of notices.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newspaper that publishes a notice shall, at no additional cost to the governmental entity placing the notice: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notice on one or more webpages on the newspaper's Internet website, if the newspaper maintains a website, that are: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clearly designated for notices;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accessible to the public at no cost;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deliver the notice to the Texas Press Association for the association to publish on the association's Internet website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Press Association shall publish each notice it receives from a newspaper under Subsection (b)(2) on the association's Internet website described by Subsection (a). The association must ensure that the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accessible to the public at no cost;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updated as notices are received;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searchable and sortable by subject matter, location, and both subject matter and location;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offers an e-mail notification service to which a person may electronically subscribe to receive notifications that a notice has been published on the website and that allows the subscriber to limit the notifications by subject matter, location, or both subject matter and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required to publish a notice on an Internet website under this section shall archive the notice on the website in its entirety, including the date the notice is published.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validity of a notice printed in a newspaper and published on an Internet website under this section is not affected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there is an error in the notice published on the website;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publication of the notice on the website is temporarily prevented as the result of a technical issue with the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notice published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