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88R6536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commitment order for individuals with intellectual disabilities who are committed to state supported living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593.052(a),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proposed resident may not be committed to a residential care facility 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proposed resident is a person with an intellectual disability;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evidence is presented showing that because of the proposed resident's intellectual disability, the proposed resident: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represents a substantial risk of physical impairment or injury to the proposed resident or others;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is unable to provide for and is not providing for the proposed resident's most basic personal physical needs;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guardian of the proposed resident or, if the proposed resident is a minor, the parent of the proposed resident petitions the court to issue a commitment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proposed resident cannot be adequately and appropriately habilitated in an available, less restrictive setting;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residential care facility provides habilitative services, care, training, and treatment appropriate to the proposed resident's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