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947</w:t>
      </w:r>
    </w:p>
    <w:p w:rsidR="003F3435" w:rsidRDefault="0032493E">
      <w:pPr>
        <w:ind w:firstLine="720"/>
        <w:jc w:val="both"/>
      </w:pPr>
      <w:r>
        <w:t xml:space="preserve">(Hunter)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damaging certain critical infrastructure facilities and providing for the prosecution of that conduct as manslaughter in certain circumstances;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defendant committed an offense under Section 28.09 and that conduct caused the death of an individual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Penal Code, is amended by adding Section 28.09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28.09.</w:t>
      </w:r>
      <w:r>
        <w:rPr>
          <w:u w:val="single"/>
        </w:rPr>
        <w:t xml:space="preserve"> </w:t>
      </w:r>
      <w:r>
        <w:rPr>
          <w:u w:val="single"/>
        </w:rPr>
        <w:t xml:space="preserve"> </w:t>
      </w:r>
      <w:r>
        <w:rPr>
          <w:u w:val="single"/>
        </w:rPr>
        <w:t xml:space="preserve">DAMAGING CRITICAL INFRASTRUCTURE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"Cyber attack"</w:t>
      </w:r>
      <w:r>
        <w:rPr>
          <w:u w:val="single"/>
        </w:rPr>
        <w:t xml:space="preserve"> </w:t>
      </w:r>
      <w:r>
        <w:rPr>
          <w:u w:val="single"/>
        </w:rPr>
        <w:t xml:space="preserve">means an attempt to damage, disrupt, or gain unauthorized access to a computer, computer network, or computer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"Drone"</w:t>
      </w:r>
      <w:r>
        <w:rPr>
          <w:u w:val="single"/>
        </w:rPr>
        <w:t xml:space="preserve"> </w:t>
      </w:r>
      <w:r>
        <w:rPr>
          <w:u w:val="single"/>
        </w:rPr>
        <w:t xml:space="preserve">has the meaning assigned by Article 2.33, Code of Criminal Procedure, as added by Chapter 1011 (H.B. 1758), Acts of the 87th Legislature, Regular Session,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"Explosive weapon" has the meaning assigned by Section 28.03.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"Extended power outage" means a power outage: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lasting for two hours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affecting 1,000 or more meters used to measure electric energy consumption by retail customers.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damages, destroys, vandalizes, or impairs the function of any critical infrastructure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the conduct described by Subdivision (1), causes an extended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second degree, except that the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uses a firearm, drone, cyber attack, or explosive weapon in the commission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