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88R9089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947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criminal offense for damaging certain critical infrastructure facilities and providing for the prosecution of that conduct as manslaughter in certain circumstances;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19.04(b),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w:t>
      </w:r>
      <w:r>
        <w:rPr>
          <w:u w:val="single"/>
        </w:rPr>
        <w:t xml:space="preserve">, except that the offense is a felony of the first degree if it is shown on the trial of the offense that the defendant committed an offense under Section 28.09 and that conduct caused the death of an individual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Penal Code, is amended by adding Section 28.09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28.09.</w:t>
      </w:r>
      <w:r>
        <w:rPr>
          <w:u w:val="single"/>
        </w:rPr>
        <w:t xml:space="preserve"> </w:t>
      </w:r>
      <w:r>
        <w:rPr>
          <w:u w:val="single"/>
        </w:rPr>
        <w:t xml:space="preserve"> </w:t>
      </w:r>
      <w:r>
        <w:rPr>
          <w:u w:val="single"/>
        </w:rPr>
        <w:t xml:space="preserve">DAMAGING CRITICAL INFRASTRUCTURE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"Critical infrastructure facility" means an electrical power generating facility, substation, switching station, electrical control center, or electrical transmission or distribution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"Explosive weapon" has the meaning assigned by Section 28.03.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"Extended power outage" means a power outage lasting for more than 24 hours.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without the effective consent of the owner or operator of a critical infrastructure facility,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damages, destroys, vandalizes, or impairs the function of any critical infrastructure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the conduct described by Subdivision (1), causes an extended power outage.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second degree, except that the offense is a felony of the first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pecuniary damage to the critical infrastructure facility is $100,000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uses a firearm or explosive weapon in the commission of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