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950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attorney general's defense of a district or county attorney against certain lawsuits in federal court.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402.024, Government Code, is amended to read as follows:</w:t>
      </w:r>
    </w:p>
    <w:p w:rsidR="003F3435" w:rsidRDefault="0032493E">
      <w:pPr>
        <w:spacing w:line="480" w:lineRule="auto"/>
        <w:ind w:firstLine="720"/>
        <w:jc w:val="both"/>
      </w:pPr>
      <w:r>
        <w:t xml:space="preserve">Sec.</w:t>
      </w:r>
      <w:r xml:space="preserve">
        <w:t> </w:t>
      </w:r>
      <w:r>
        <w:t xml:space="preserve">402.024.</w:t>
      </w:r>
      <w:r xml:space="preserve">
        <w:t> </w:t>
      </w:r>
      <w:r xml:space="preserve">
        <w:t> </w:t>
      </w:r>
      <w:r>
        <w:t xml:space="preserve">DEFENSE OF DISTRICT ATTORNEY</w:t>
      </w:r>
      <w:r>
        <w:rPr>
          <w:u w:val="single"/>
        </w:rPr>
        <w:t xml:space="preserve">, COUNTY ATTORNEY,</w:t>
      </w:r>
      <w:r>
        <w:t xml:space="preserve"> OR GRAND JUROR.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402.024,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defend a state district attorney or a county attorney in an action in a federal court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district or county attorney is a defendant because of the district or county attorney's office;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cause of action relates to the enforcement of a state statute;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district or county attorney requests the attorney general's assistance in the defense.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402.024, Government Code, as amended by this Act, applies only to a court action filed in federal court on or after the effective date of this Act.  A court action filed before the effective date of this Act is governed by the law in effect on the date the action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