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w:t>
      </w:r>
      <w:r xml:space="preserve">
        <w:tab wTab="150" tlc="none" cTlc="0"/>
      </w:r>
      <w:r>
        <w:t xml:space="preserve">S.B.</w:t>
      </w:r>
      <w:r xml:space="preserve">
        <w:t> </w:t>
      </w:r>
      <w:r>
        <w:t xml:space="preserve">No.</w:t>
      </w:r>
      <w:r xml:space="preserve">
        <w:t> </w:t>
      </w:r>
      <w:r>
        <w:t xml:space="preserve">950</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15,</w:t>
      </w:r>
      <w:r xml:space="preserve">
        <w:t> </w:t>
      </w:r>
      <w:r>
        <w:t xml:space="preserve">2023; March</w:t>
      </w:r>
      <w:r xml:space="preserve">
        <w:t> </w:t>
      </w:r>
      <w:r>
        <w:t xml:space="preserve">3,</w:t>
      </w:r>
      <w:r xml:space="preserve">
        <w:t> </w:t>
      </w:r>
      <w:r>
        <w:t xml:space="preserve">2023, read first time and referred to Committee on State Affairs; April</w:t>
      </w:r>
      <w:r xml:space="preserve">
        <w:t> </w:t>
      </w:r>
      <w:r>
        <w:t xml:space="preserve">4,</w:t>
      </w:r>
      <w:r xml:space="preserve">
        <w:t> </w:t>
      </w:r>
      <w:r>
        <w:t xml:space="preserve">2023, reported adversely, with favorable Committee Substitute by the following vote:</w:t>
      </w:r>
      <w:r>
        <w:t xml:space="preserve"> </w:t>
      </w:r>
      <w:r>
        <w:t xml:space="preserve"> </w:t>
      </w:r>
      <w:r>
        <w:t xml:space="preserve">Yeas 9, Nays 1; April</w:t>
      </w:r>
      <w:r xml:space="preserve">
        <w:t> </w:t>
      </w:r>
      <w:r>
        <w:t xml:space="preserve">4,</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950</w:t>
      </w:r>
      <w:r xml:space="preserve">
        <w:tab wTab="150" tlc="none" cTlc="0"/>
      </w:r>
      <w:r>
        <w:t xml:space="preserve">By:</w:t>
      </w:r>
      <w:r xml:space="preserve">
        <w:t> </w:t>
      </w:r>
      <w:r xml:space="preserve">
        <w:t> </w:t>
      </w:r>
      <w:r>
        <w:t xml:space="preserve">Hughes</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attorney general's defense of a district or county attorney against certain lawsuits in federal court.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Section 402.024, Government Code, is amended to read as follows:</w:t>
      </w:r>
    </w:p>
    <w:p w:rsidR="003F3435" w:rsidRDefault="0032493E">
      <w:pPr>
        <w:spacing w:line="480" w:lineRule="auto"/>
        <w:ind w:firstLine="720"/>
        <w:jc w:val="both"/>
      </w:pPr>
      <w:r>
        <w:t xml:space="preserve">Sec.</w:t>
      </w:r>
      <w:r xml:space="preserve">
        <w:t> </w:t>
      </w:r>
      <w:r>
        <w:t xml:space="preserve">402.024.</w:t>
      </w:r>
      <w:r xml:space="preserve">
        <w:t> </w:t>
      </w:r>
      <w:r xml:space="preserve">
        <w:t> </w:t>
      </w:r>
      <w:r>
        <w:t xml:space="preserve">DEFENSE OF DISTRICT ATTORNEY</w:t>
      </w:r>
      <w:r>
        <w:rPr>
          <w:u w:val="single"/>
        </w:rPr>
        <w:t xml:space="preserve">, COUNTY ATTORNEY,</w:t>
      </w:r>
      <w:r>
        <w:t xml:space="preserve"> OR GRAND JUROR.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402.024, Government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attorney general may defend a state district attorney or a county attorney in an action in a federal court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district or county attorney is a defendant because of the district or county attorney's office;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cause of action relates to the enforcement of a state statute;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district or county attorney requests the attorney general's assistance in the defense.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402.024, Government Code, as amended by this Act, applies only to a court action filed in federal court on or after the effective date of this Act.  A court action filed before the effective date of this Act is governed by the law in effect on the date the action was filed,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950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