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tax and fee collection procedures and taxpayer suits.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111.0041(c), Tax Code, is amended to read as follows:</w:t>
      </w:r>
    </w:p>
    <w:p w:rsidR="003F3435" w:rsidRDefault="0032493E">
      <w:pPr>
        <w:spacing w:line="480" w:lineRule="auto"/>
        <w:ind w:firstLine="720"/>
        <w:jc w:val="both"/>
      </w:pPr>
      <w:r>
        <w:t xml:space="preserve">(c)</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or fee for the transactions in question to substantiate and enable verification of the taxpayer's claim related to the amount of tax, penalty, or interest to be assessed, collected, or refunded in an administrative or judicial proceeding. </w:t>
      </w:r>
      <w:r>
        <w:t xml:space="preserve"> </w:t>
      </w:r>
      <w:r>
        <w:rPr>
          <w:u w:val="single"/>
        </w:rPr>
        <w:t xml:space="preserve">Sufficient</w:t>
      </w:r>
      <w:r>
        <w:t xml:space="preserve"> [</w:t>
      </w:r>
      <w:r>
        <w:rPr>
          <w:strike/>
        </w:rPr>
        <w:t xml:space="preserve">Contemporaneous</w:t>
      </w:r>
      <w:r>
        <w:t xml:space="preserve">] records and supporting documentation appropriate to the tax or fee may include[</w:t>
      </w:r>
      <w:r>
        <w:rPr>
          <w:strike/>
        </w:rPr>
        <w:t xml:space="preserve">, for example,</w:t>
      </w:r>
      <w:r>
        <w:t xml:space="preserve">] invoices, vouchers, checks, shipping records, contracts, or other equivalent records, such as electronically stored images of such documents, reflecting legal relationships and taxes collected or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111.0081, Tax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amount of a determination made under this code is due and payable 20 days after a comptroller's decision in a redetermination hearing becomes final. </w:t>
      </w:r>
      <w:r>
        <w:t xml:space="preserve"> </w:t>
      </w:r>
      <w:r>
        <w:rPr>
          <w:u w:val="single"/>
        </w:rPr>
        <w:t xml:space="preserve">Except as provided by Subsection (d), if</w:t>
      </w:r>
      <w:r>
        <w:t xml:space="preserve"> </w:t>
      </w:r>
      <w:r>
        <w:t xml:space="preserve">[</w:t>
      </w:r>
      <w:r>
        <w:rPr>
          <w:strike/>
        </w:rPr>
        <w:t xml:space="preserve">If</w:t>
      </w:r>
      <w:r>
        <w:t xml:space="preserve">] the amount of the determination is not paid within 20 days after the day the decision became final, a penalty of 10 percent of the amount of the determination, exclusive of penalties and interest, shall be added.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penalty provided by Subsection (c) is abated with respect to the disputed amount that is the subject of a timely filed suit under Subchapter E, Chapter 112.  If the amount determined to be due in a final judgment in the suit is not paid within 20 days after the day the judgment became final, a penalty of 10 percent of the amount due, exclusive of penalties and interest, shall be added.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111, Tax Code, is amended by adding Section 111.0091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111.0091.</w:t>
      </w:r>
      <w:r>
        <w:rPr>
          <w:u w:val="single"/>
        </w:rPr>
        <w:t xml:space="preserve"> </w:t>
      </w:r>
      <w:r>
        <w:rPr>
          <w:u w:val="single"/>
        </w:rPr>
        <w:t xml:space="preserve"> </w:t>
      </w:r>
      <w:r>
        <w:rPr>
          <w:u w:val="single"/>
        </w:rPr>
        <w:t xml:space="preserve">DISPUTING RESULTS OF MANAGED AUDITS:  NOTICE OF INTENT TO BYPASS REDETERMINATION PROCESS.  (a)  A person who conducts a managed audit authorized by Section 151.0231 or 201.3021 may file with the comptroller a notice of intent to bypass the redetermination process under Section 111.009.  The notice of intent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on or before the 60th day after the date the comptroller issues a letter notifying the person of the results of the managed audit;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writing;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assert the material facts and each specific legal basis for disputing the results of the managed audit;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specify the amounts of the disputed underpayments or overpayments contained in the report of the managed audit results.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files a notice of intent under Subsection (a) may bypass the redetermination process under Section 111.009 and bring a suit under Subchapter D, Chapter 112,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participated in a conference under Subsection (c), in which case the suit must be filed on or before the 60th day after the date the conference concludes or a later date agreed to by the comptroller;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comptroller does not provide notice in the time required by Subsection (d) that a conference is required, in which case the suit must be filed on or before the 90th day after the date the notice of intent was filed.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a conference between a person who files a notice of intent under Subsection (a) and a designated officer or employee of the comptroller to clarify any fact or legal issue in dispute regarding the results of the managed audit and to discuss the availability of additional documentation that may assist in resolving outstanding issues regarding the managed audit.  The person who filed the notice of intent may amend a material fact or legal basis described by Subsection (a)(3) following the conference if the comptroller agrees in writing to the amendment.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comptroller requires a conference under Subsection (c), the comptroller shall notify the person of the conference requirement not later than the 30th day after the date the notice of intent under Subsection (a) was filed.  The notice of the conference requirement must be in writing and include a date and time for the conference.  The conference date provided in the notice must be not later than the 90th day after the date the notice of intent was filed.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person who filed the notice of intent under Subsection (a) may request to reschedule the conference date provided in the notice under Subsection (d).  The comptroller shall make a good faith effort to accommodate the request.  If the comptroller and the person who filed the notice of intent do not agree on or before the 90th day after the date the notice of intent was filed to a rescheduled date for the conference, the person may on or before the 120th day after the date the notice of intent was filed rescind the notice of intent and petition the comptroller for a redetermination under Section 111.009.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 person who files a notice of intent under Subsection (a) waives the person's right to a redetermination under Section 111.009.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112.052(d), Tax Code, is amended to read as follows:</w:t>
      </w:r>
    </w:p>
    <w:p w:rsidR="003F3435" w:rsidRDefault="0032493E">
      <w:pPr>
        <w:spacing w:line="480" w:lineRule="auto"/>
        <w:ind w:firstLine="720"/>
        <w:jc w:val="both"/>
      </w:pPr>
      <w:r>
        <w:t xml:space="preserve">(d)</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for the transactions in question to substantiate and enable verification of a taxpayer's claim relating to the amount of the tax, penalty, or interest that has been assessed or collected or will be refunded, as required by Section 111.0041.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Subchapter D, Chapter 112, Tax Code, is amended to read as follows:</w:t>
      </w:r>
    </w:p>
    <w:p w:rsidR="003F3435" w:rsidRDefault="0032493E">
      <w:pPr>
        <w:spacing w:line="480" w:lineRule="auto"/>
        <w:jc w:val="center"/>
      </w:pPr>
      <w:r>
        <w:t xml:space="preserve">SUBCHAPTER D. </w:t>
      </w:r>
      <w:r>
        <w:t xml:space="preserve"> </w:t>
      </w:r>
      <w:r>
        <w:t xml:space="preserve">SUIT FOR TAX REFUND </w:t>
      </w:r>
      <w:r>
        <w:rPr>
          <w:u w:val="single"/>
        </w:rPr>
        <w:t xml:space="preserve">OR TO DISPUTE RESULTS OF MANAGED AUDIT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112.151(f), Tax Code, is amended to read as follows:</w:t>
      </w:r>
    </w:p>
    <w:p w:rsidR="003F3435" w:rsidRDefault="0032493E">
      <w:pPr>
        <w:spacing w:line="480" w:lineRule="auto"/>
        <w:ind w:firstLine="720"/>
        <w:jc w:val="both"/>
      </w:pPr>
      <w:r>
        <w:t xml:space="preserve">(f)</w:t>
      </w:r>
      <w:r xml:space="preserve">
        <w:t> </w:t>
      </w:r>
      <w:r xml:space="preserve">
        <w:t> </w:t>
      </w:r>
      <w:r>
        <w:t xml:space="preserve">A taxpayer shall produce </w:t>
      </w:r>
      <w:r>
        <w:rPr>
          <w:u w:val="single"/>
        </w:rPr>
        <w:t xml:space="preserve">sufficient</w:t>
      </w:r>
      <w:r>
        <w:t xml:space="preserve"> [</w:t>
      </w:r>
      <w:r>
        <w:rPr>
          <w:strike/>
        </w:rPr>
        <w:t xml:space="preserve">contemporaneous</w:t>
      </w:r>
      <w:r>
        <w:t xml:space="preserve">] records and supporting documentation appropriate to the tax or fee for the transactions in question to substantiate and enable verification of a taxpayer's claim relating to the amount of the tax, penalty, or interest that has been assessed or collected or will be refunded, as required by Section 111.0041.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112, Tax Code, is amended by adding Section 112.1511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112.1511.</w:t>
      </w:r>
      <w:r>
        <w:rPr>
          <w:u w:val="single"/>
        </w:rPr>
        <w:t xml:space="preserve"> </w:t>
      </w:r>
      <w:r>
        <w:rPr>
          <w:u w:val="single"/>
        </w:rPr>
        <w:t xml:space="preserve"> </w:t>
      </w:r>
      <w:r>
        <w:rPr>
          <w:u w:val="single"/>
        </w:rPr>
        <w:t xml:space="preserve">SUIT TO DISPUTE RESULTS OF MANAGED AUDIT. </w:t>
      </w:r>
      <w:r>
        <w:rPr>
          <w:u w:val="single"/>
        </w:rPr>
        <w:t xml:space="preserve"> </w:t>
      </w:r>
      <w:r>
        <w:rPr>
          <w:u w:val="single"/>
        </w:rPr>
        <w:t xml:space="preserve">(a) </w:t>
      </w:r>
      <w:r>
        <w:rPr>
          <w:u w:val="single"/>
        </w:rPr>
        <w:t xml:space="preserve"> </w:t>
      </w:r>
      <w:r>
        <w:rPr>
          <w:u w:val="single"/>
        </w:rPr>
        <w:t xml:space="preserve">A person may sue the comptroller to dispute the results of a managed audit conducted under Section 151.0231 or 201.3021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issued a letter by the comptroller notifying the person of the results of the managed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bring the suit under Section 111.0091(b).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suit must be brought against both the comptroller and the attorney general and must be filed in a district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suit must be filed during the time provided by Section 111.0091(b) or it is barred.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amounts of the disputed underpayments or overpayments contained in the report of the managed audit results must be set out in the original petition. </w:t>
      </w:r>
      <w:r>
        <w:rPr>
          <w:u w:val="single"/>
        </w:rPr>
        <w:t xml:space="preserve"> </w:t>
      </w:r>
      <w:r>
        <w:rPr>
          <w:u w:val="single"/>
        </w:rPr>
        <w:t xml:space="preserve">A copy of the notice of intent filed under Section 111.0091(a) must be attached to the original petition filed with the court and to the copies of the original petition served on the comptroller and the attorney general.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intervene in the suit.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taxpayer shall produce sufficient records and supporting documentation appropriate to the tax or fee for the transactions in question to substantiate and enable verification of a taxpayer's claim relating to the amount of the tax, penalty, or interest to be assessed, collected, or refunded, as required by Section 111.0041, including the amounts of the disputed underpayments or overpayments contained in the report of the managed audit results.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comptroller has been timely served in a suit that complies with this section, the comptroller and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enjoined from collecting disputed underpayments identified in Section 111.0091(a)(4) from the person bringing the suit during the pendency of the suit;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enjoined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asserting tax liens;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alternative to asserting tax liens, requiring the person to provide security: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amount sufficient to secure payment of the entire disputed amount, including penalties and accrued interest, that is the subject of the suit;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form of a cash deposit filed with the comptroller or paid into the registry of the court, a surety bond, a letter of credit, or another form of guarantee.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Damages may be awarded under Chapter 65, Civil Practice and Remedies Code, if the court determines that all or part of the enjoined collection amounts under Subsection (g) were disputed solely for delay.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112.152, Tax Code, is amended to read as follows:</w:t>
      </w:r>
    </w:p>
    <w:p w:rsidR="003F3435" w:rsidRDefault="0032493E">
      <w:pPr>
        <w:spacing w:line="480" w:lineRule="auto"/>
        <w:ind w:firstLine="720"/>
        <w:jc w:val="both"/>
      </w:pPr>
      <w:r>
        <w:t xml:space="preserve">Sec.</w:t>
      </w:r>
      <w:r xml:space="preserve">
        <w:t> </w:t>
      </w:r>
      <w:r>
        <w:t xml:space="preserve">112.152.</w:t>
      </w:r>
      <w:r xml:space="preserve">
        <w:t> </w:t>
      </w:r>
      <w:r xml:space="preserve">
        <w:t> </w:t>
      </w:r>
      <w:r>
        <w:t xml:space="preserve">ISSUES IN SUIT. </w:t>
      </w:r>
      <w:r>
        <w:t xml:space="preserve"> </w:t>
      </w:r>
      <w:r>
        <w:t xml:space="preserve">(a) </w:t>
      </w:r>
      <w:r>
        <w:t xml:space="preserve"> </w:t>
      </w:r>
      <w:r>
        <w:t xml:space="preserve">The only issues that may be raised in a suit under this subchapter are, as applicable, the:</w:t>
      </w:r>
    </w:p>
    <w:p w:rsidR="003F3435" w:rsidRDefault="0032493E">
      <w:pPr>
        <w:spacing w:line="480" w:lineRule="auto"/>
        <w:ind w:firstLine="1440"/>
        <w:jc w:val="both"/>
      </w:pPr>
      <w:r>
        <w:t xml:space="preserve">(1)</w:t>
      </w:r>
      <w:r xml:space="preserve">
        <w:t> </w:t>
      </w:r>
      <w:r xml:space="preserve">
        <w:t> </w:t>
      </w:r>
      <w:r>
        <w:t xml:space="preserve">grounds of error contained in the motion for rehearing; or</w:t>
      </w:r>
    </w:p>
    <w:p w:rsidR="003F3435" w:rsidRDefault="0032493E">
      <w:pPr>
        <w:spacing w:line="480" w:lineRule="auto"/>
        <w:ind w:firstLine="1440"/>
        <w:jc w:val="both"/>
      </w:pPr>
      <w:r>
        <w:t xml:space="preserve">(2)</w:t>
      </w:r>
      <w:r xml:space="preserve">
        <w:t> </w:t>
      </w:r>
      <w:r xml:space="preserve">
        <w:t> </w:t>
      </w:r>
      <w:r>
        <w:t xml:space="preserve">material facts and legal bases contained in the notice of intent filed under Section </w:t>
      </w:r>
      <w:r>
        <w:rPr>
          <w:u w:val="single"/>
        </w:rPr>
        <w:t xml:space="preserve">111.0091(a) or</w:t>
      </w:r>
      <w:r>
        <w:t xml:space="preserve"> 111.106(a).</w:t>
      </w:r>
    </w:p>
    <w:p w:rsidR="003F3435" w:rsidRDefault="0032493E">
      <w:pPr>
        <w:spacing w:line="480" w:lineRule="auto"/>
        <w:ind w:firstLine="720"/>
        <w:jc w:val="both"/>
      </w:pPr>
      <w:r>
        <w:t xml:space="preserve">(b)</w:t>
      </w:r>
      <w:r xml:space="preserve">
        <w:t> </w:t>
      </w:r>
      <w:r xml:space="preserve">
        <w:t> </w:t>
      </w:r>
      <w:r>
        <w:t xml:space="preserve">The suit applies only to a tax liability period considered in the comptroller's decision or covered by the notice of intent filed under Section </w:t>
      </w:r>
      <w:r>
        <w:rPr>
          <w:u w:val="single"/>
        </w:rPr>
        <w:t xml:space="preserve">111.0091 or</w:t>
      </w:r>
      <w:r>
        <w:t xml:space="preserve"> 111.106, as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112.201, Tax Code, is amended by amending Subsection (c) and adding Subsections (c-1) and (c-2) to read as follows:</w:t>
      </w:r>
    </w:p>
    <w:p w:rsidR="003F3435" w:rsidRDefault="0032493E">
      <w:pPr>
        <w:spacing w:line="480" w:lineRule="auto"/>
        <w:ind w:firstLine="720"/>
        <w:jc w:val="both"/>
      </w:pPr>
      <w:r>
        <w:t xml:space="preserve">(c)</w:t>
      </w:r>
      <w:r xml:space="preserve">
        <w:t> </w:t>
      </w:r>
      <w:r xml:space="preserve">
        <w:t> </w:t>
      </w:r>
      <w:r>
        <w:t xml:space="preserve">A person bringing a suit under this subchapter may pay the disputed amounts as provided by Chapter 111. A disputed amount that is not paid as provided by Chapter 111 and that is determined to be due in a final judgment accrues penalties and interest as provided by Chapter 111.</w:t>
      </w:r>
    </w:p>
    <w:p w:rsidR="003F3435" w:rsidRDefault="0032493E">
      <w:pPr>
        <w:spacing w:line="480" w:lineRule="auto"/>
        <w:ind w:firstLine="720"/>
        <w:jc w:val="both"/>
      </w:pPr>
      <w:r>
        <w:rPr>
          <w:u w:val="single"/>
        </w:rPr>
        <w:t xml:space="preserve">(c-1)</w:t>
      </w:r>
      <w:r xml:space="preserve">
        <w:t> </w:t>
      </w:r>
      <w:r xml:space="preserve">
        <w:t> </w:t>
      </w:r>
      <w:r>
        <w:t xml:space="preserve">After the comptroller has been timely served in a suit that complies with this subchapter, the comptroller and the attorney general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enjoined from collecting disputed amounts from the person bringing the suit during the pendency of the suit</w:t>
      </w:r>
      <w:r>
        <w:rPr>
          <w:u w:val="single"/>
        </w:rP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but</w:t>
      </w:r>
      <w:r>
        <w:t xml:space="preserve">] are not enjoined from</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asserting tax liens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alternative to asserting tax liens, requiring the person to provide security: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amount sufficient to secure payment of the entire disputed amount, including penalties and accrued interest, that is the subject of the suit;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the form of a cash deposit filed with the comptroller or paid into the registry of the court, a surety bond, a letter of credit, or another form of guarantee</w:t>
      </w:r>
      <w:r>
        <w:t xml:space="preserve">.</w:t>
      </w:r>
    </w:p>
    <w:p w:rsidR="003F3435" w:rsidRDefault="0032493E">
      <w:pPr>
        <w:spacing w:line="480" w:lineRule="auto"/>
        <w:ind w:firstLine="720"/>
        <w:jc w:val="both"/>
      </w:pPr>
      <w:r>
        <w:rPr>
          <w:u w:val="single"/>
        </w:rPr>
        <w:t xml:space="preserve">(c-2)</w:t>
      </w:r>
      <w:r xml:space="preserve">
        <w:t> </w:t>
      </w:r>
      <w:r xml:space="preserve">
        <w:t> </w:t>
      </w:r>
      <w:r>
        <w:t xml:space="preserve">Damages may be awarded under Chapter 65, Civil Practice and Remedies Code, if the court determines that all or part of the enjoined collection amounts </w:t>
      </w:r>
      <w:r>
        <w:rPr>
          <w:u w:val="single"/>
        </w:rPr>
        <w:t xml:space="preserve">under Subsection (c-1)</w:t>
      </w:r>
      <w:r>
        <w:t xml:space="preserve"> were disputed solely for delay.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112.202, Tax Code, is amended to read as follows:</w:t>
      </w:r>
    </w:p>
    <w:p w:rsidR="003F3435" w:rsidRDefault="0032493E">
      <w:pPr>
        <w:spacing w:line="480" w:lineRule="auto"/>
        <w:ind w:firstLine="720"/>
        <w:jc w:val="both"/>
      </w:pPr>
      <w:r>
        <w:t xml:space="preserve">Sec.</w:t>
      </w:r>
      <w:r xml:space="preserve">
        <w:t> </w:t>
      </w:r>
      <w:r>
        <w:t xml:space="preserve">112.202.</w:t>
      </w:r>
      <w:r xml:space="preserve">
        <w:t> </w:t>
      </w:r>
      <w:r xml:space="preserve">
        <w:t> </w:t>
      </w:r>
      <w:r>
        <w:t xml:space="preserve">RECORDS. </w:t>
      </w:r>
      <w:r>
        <w:t xml:space="preserve"> </w:t>
      </w:r>
      <w:r>
        <w:t xml:space="preserve">A person shall produce, in connection with a suit under this subchapter, </w:t>
      </w:r>
      <w:r>
        <w:rPr>
          <w:u w:val="single"/>
        </w:rPr>
        <w:t xml:space="preserve">sufficient</w:t>
      </w:r>
      <w:r>
        <w:t xml:space="preserve"> [</w:t>
      </w:r>
      <w:r>
        <w:rPr>
          <w:strike/>
        </w:rPr>
        <w:t xml:space="preserve">contemporaneous</w:t>
      </w:r>
      <w:r>
        <w:t xml:space="preserve">] records and supporting documentation appropriate to the tax for the transactions in question to substantiate and enable verification of the person's claim relating to the amount of the tax, penalty, or interest that has been assessed or collected, as required by Section 111.0041.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111.105(e), Tax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applies to a managed audit that is in progress and an administrative or judicial proceeding that is pending or filed on or after the effective date of this Act, without regard to whether the taxes that are the subject of the managed audit or proceeding were due before, on, or after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