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compensation and reporting requirements for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171.1013, Tax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(b) and (b-1) and subject to Section 171.1014, a taxable entity that elects to subtract compensation for the purpose of computing its taxable margin under Section 171.101 may not subtract the cost of health care benefits provided to the entity's officers, directors, owners, partners, or employees,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health care benefits include coverage for items or services that facilitate access to abortion, including travel vouchers;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provides sick leave as a benefit to the entity's officers, directors, owners, partners, or employees for purposes of procuring an abortion or for a recovery period following an abortion.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171.201(a),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171.2022, a taxable entity on which the franchise tax is imposed shall file an initial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each officer, director, and manager of the taxable entity;</w:t>
      </w:r>
    </w:p>
    <w:p w:rsidR="003F3435" w:rsidRDefault="0032493E">
      <w:pPr>
        <w:spacing w:line="480" w:lineRule="auto"/>
        <w:ind w:firstLine="2160"/>
        <w:jc w:val="both"/>
      </w:pPr>
      <w:r>
        <w:t xml:space="preserve">(B)</w:t>
      </w:r>
      <w:r xml:space="preserve">
        <w:t> </w:t>
      </w:r>
      <w:r xml:space="preserve">
        <w:t> </w:t>
      </w:r>
      <w:r>
        <w:t xml:space="preserve">for a limited partnership, each general partner;</w:t>
      </w:r>
    </w:p>
    <w:p w:rsidR="003F3435" w:rsidRDefault="0032493E">
      <w:pPr>
        <w:spacing w:line="480" w:lineRule="auto"/>
        <w:ind w:firstLine="2160"/>
        <w:jc w:val="both"/>
      </w:pPr>
      <w:r>
        <w:t xml:space="preserve">(C)</w:t>
      </w:r>
      <w:r xml:space="preserve">
        <w:t> </w:t>
      </w:r>
      <w:r xml:space="preserve">
        <w:t> </w:t>
      </w:r>
      <w:r>
        <w:t xml:space="preserve">for a general partnership or limited liability partnership, each managing partner or, if there is not a managing partner, each partner; or</w:t>
      </w:r>
    </w:p>
    <w:p w:rsidR="003F3435" w:rsidRDefault="0032493E">
      <w:pPr>
        <w:spacing w:line="480" w:lineRule="auto"/>
        <w:ind w:firstLine="2160"/>
        <w:jc w:val="both"/>
      </w:pPr>
      <w:r>
        <w:t xml:space="preserve">(D)</w:t>
      </w:r>
      <w:r xml:space="preserve">
        <w:t> </w:t>
      </w:r>
      <w:r xml:space="preserve">
        <w:t> </w:t>
      </w:r>
      <w:r>
        <w:t xml:space="preserve">for a trust, each trustee;</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171.354;</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 certification as to whether the taxable entity provides health care benefits that include the coverage described by Section 171.1013(b-2) or sick leave described by that subsection;</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171.202(a),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171.2022, a taxable entity on which the franchise tax is imposed shall file an annual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 each officer and director of the taxable entity;</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171.354;</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 certification as to whether the taxable entity provides health care benefits that include the coverage described by Section 171.1013(b-2) or sick leave described by that subsection;</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