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between an open-enrollment charter school and an abortion provider or affiliate of the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"Governmental entity" means this state, a state agency in the executive, judicial, or legislative branch of state government, [</w:t>
      </w:r>
      <w:r>
        <w:rPr>
          <w:strike/>
        </w:rPr>
        <w:t xml:space="preserve">or</w:t>
      </w:r>
      <w:r>
        <w:t xml:space="preserve">] a political subdivision of this state</w:t>
      </w:r>
      <w:r>
        <w:rPr>
          <w:u w:val="single"/>
        </w:rPr>
        <w:t xml:space="preserve">, or an open-enrollment charter school established under Subchapter D, Chapter 12,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2273.001(4), Government Code, as amended by this Act, applies only to a taxpayer resource transaction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