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15,</w:t>
      </w:r>
      <w:r xml:space="preserve">
        <w:t> </w:t>
      </w:r>
      <w:r>
        <w:t xml:space="preserve">2023; March</w:t>
      </w:r>
      <w:r xml:space="preserve">
        <w:t> </w:t>
      </w:r>
      <w:r>
        <w:t xml:space="preserve">3,</w:t>
      </w:r>
      <w:r xml:space="preserve">
        <w:t> </w:t>
      </w:r>
      <w:r>
        <w:t xml:space="preserve">2023, read first time and referred to Committee on State Affairs; March</w:t>
      </w:r>
      <w:r xml:space="preserve">
        <w:t> </w:t>
      </w:r>
      <w:r>
        <w:t xml:space="preserve">22,</w:t>
      </w:r>
      <w:r xml:space="preserve">
        <w:t> </w:t>
      </w:r>
      <w:r>
        <w:t xml:space="preserve">2023, reported favorably by the following vote:</w:t>
      </w:r>
      <w:r>
        <w:t xml:space="preserve"> </w:t>
      </w:r>
      <w:r>
        <w:t xml:space="preserve"> </w:t>
      </w:r>
      <w:r>
        <w:t xml:space="preserve">Yeas 8, Nays 3; March</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prohibited transactions between an open-enrollment charter school and an abortion provider or affiliate of the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"Governmental entity" means this state, a state agency in the executive, judicial, or legislative branch of state government, [</w:t>
      </w:r>
      <w:r>
        <w:rPr>
          <w:strike/>
        </w:rPr>
        <w:t xml:space="preserve">or</w:t>
      </w:r>
      <w:r>
        <w:t xml:space="preserve">] a political subdivision of this state</w:t>
      </w:r>
      <w:r>
        <w:rPr>
          <w:u w:val="single"/>
        </w:rPr>
        <w:t xml:space="preserve">, or an open-enrollment charter school established under Subchapter D, Chapter 12,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2273.001(4), Government Code, as amended by this Act, applies only to a taxpayer resource transaction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