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88R6356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w:t>
      </w:r>
      <w:r xml:space="preserve">
        <w:tab wTab="150" tlc="none" cTlc="0"/>
      </w:r>
      <w:r>
        <w:t xml:space="preserve">S.B.</w:t>
      </w:r>
      <w:r xml:space="preserve">
        <w:t> </w:t>
      </w:r>
      <w:r>
        <w:t xml:space="preserve">No.</w:t>
      </w:r>
      <w:r xml:space="preserve">
        <w:t> </w:t>
      </w:r>
      <w:r>
        <w:t xml:space="preserve">960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state savings and government efficiency achieved through a taxpayer savings grant program administered by the comptroller of public accounts.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48.266, Education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the commissioner shall adjust enrollment estimates and entitlement for each school district for each school year based on information provided by the comptroller under Section 48.351(f).  This subsection expires September 1, 2028.</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48, Education Code, is amended by adding Subchapter H to read as follows:</w:t>
      </w:r>
    </w:p>
    <w:p w:rsidR="003F3435" w:rsidRDefault="0032493E">
      <w:pPr>
        <w:spacing w:line="480" w:lineRule="auto"/>
        <w:jc w:val="center"/>
      </w:pPr>
      <w:r>
        <w:rPr>
          <w:u w:val="single"/>
        </w:rPr>
        <w:t xml:space="preserve">SUBCHAPTER H.  TAXPAYER SAVINGS GRANTS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48.351.</w:t>
      </w:r>
      <w:r>
        <w:rPr>
          <w:u w:val="single"/>
        </w:rPr>
        <w:t xml:space="preserve"> </w:t>
      </w:r>
      <w:r>
        <w:rPr>
          <w:u w:val="single"/>
        </w:rPr>
        <w:t xml:space="preserve"> </w:t>
      </w:r>
      <w:r>
        <w:rPr>
          <w:u w:val="single"/>
        </w:rPr>
        <w:t xml:space="preserve">TAXPAYER SAVINGS GRANT PROGRAM. </w:t>
      </w:r>
      <w:r>
        <w:rPr>
          <w:u w:val="single"/>
        </w:rPr>
        <w:t xml:space="preserve"> </w:t>
      </w:r>
      <w:r>
        <w:rPr>
          <w:u w:val="single"/>
        </w:rPr>
        <w:t xml:space="preserve">(a)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student" means a school-age child who resides in the state and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entering kindergarten or first grade;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attended a public school for the entire school year immediately preceding initial participation in the Taxpayer Savings Grant Program;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participated in the program in a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"Private school" means a school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offers a course of instruction for elementary or secondary students;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operated by a governmental entity;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not a home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parent or legal guardian of an eligible student may receive reimbursement from the state for the tuition paid for the enrollment of the eligible student at a private school in an amount that is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tuition paid;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60 percent of the amount of state funding per student provided under Section 12.106.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from the available school fund and federal funds may not be used for reimbursement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private school voluntarily selected by a parent for the parent's child to attend, with or without governmental assistance, may not be required to comply with any state law or rule governing the school's educational program that was not in effect on January 1, 2023.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administer the program and provide reimbursement to a parent or legal guardian of an eligible student as authorized by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October 1 of each year, the comptroller shall notify the commissioner and the Legislative Budget Board of the number of eligible students likely to participate in the program, disaggregated by the school district or open-enrollment charter school the eligible students would otherwise attend.  Not later than March 1 of each year, the comptroller shall provide final information to the commissioner and the Legislative Budget Board regarding the number of students participating in the program, disaggregated in the same manner as the initial information.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but not later than October 15, 2023, the comptroller, in coordination with the commissioner of education, shall adopt rules to implement the Taxpayer Savings Grant Program under Section 48.351, Education Code, as added by this Act, including rules to prevent fraud in financial transactions under the program and to determine the net savings resulting from implementation of the program. </w:t>
      </w:r>
      <w:r>
        <w:t xml:space="preserve"> </w:t>
      </w:r>
      <w:r>
        <w:t xml:space="preserve">The rules must require reconciliation of payments for all grants within the same fiscal year or within the first month following the end of the fiscal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