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88R10542 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Campbell</w:t>
      </w:r>
      <w:r xml:space="preserve">
        <w:tab wTab="150" tlc="none" cTlc="0"/>
      </w:r>
      <w:r>
        <w:t xml:space="preserve">S.B.</w:t>
      </w:r>
      <w:r xml:space="preserve">
        <w:t> </w:t>
      </w:r>
      <w:r>
        <w:t xml:space="preserve">No.</w:t>
      </w:r>
      <w:r xml:space="preserve">
        <w:t> </w:t>
      </w:r>
      <w:r>
        <w:t xml:space="preserve">963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distribution of the opioid abatement trust account.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403.506(c),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The trust company shall:</w:t>
      </w:r>
    </w:p>
    <w:p w:rsidR="003F3435" w:rsidRDefault="0032493E">
      <w:pPr>
        <w:spacing w:line="480" w:lineRule="auto"/>
        <w:ind w:firstLine="1440"/>
        <w:jc w:val="both"/>
      </w:pPr>
      <w:r>
        <w:t xml:space="preserve">(1)</w:t>
      </w:r>
      <w:r xml:space="preserve">
        <w:t> </w:t>
      </w:r>
      <w:r xml:space="preserve">
        <w:t> </w:t>
      </w:r>
      <w:r>
        <w:t xml:space="preserve">distribute to counties and municipalities to address opioid-related harms in those communities an amount equal to 15 percent of the total amount of money obtained under a statewide opioid settlement agreement and distributed to the fund and the account under Section 403.507; and</w:t>
      </w:r>
    </w:p>
    <w:p w:rsidR="003F3435" w:rsidRDefault="0032493E">
      <w:pPr>
        <w:spacing w:line="480" w:lineRule="auto"/>
        <w:ind w:firstLine="1440"/>
        <w:jc w:val="both"/>
      </w:pPr>
      <w:r>
        <w:t xml:space="preserve">(2)</w:t>
      </w:r>
      <w:r xml:space="preserve">
        <w:t> </w:t>
      </w:r>
      <w:r xml:space="preserve">
        <w:t> </w:t>
      </w:r>
      <w:r>
        <w:t xml:space="preserve">allocate an amount equal to 70 percent of the total amount of money obtained under a statewide opioid settlement agreement and distributed to the fund and the account under Section 403.507 as follows:</w:t>
      </w:r>
    </w:p>
    <w:p w:rsidR="003F3435" w:rsidRDefault="0032493E">
      <w:pPr>
        <w:spacing w:line="480" w:lineRule="auto"/>
        <w:ind w:firstLine="2160"/>
        <w:jc w:val="both"/>
      </w:pPr>
      <w:r>
        <w:t xml:space="preserve">(A)</w:t>
      </w:r>
      <w:r xml:space="preserve">
        <w:t> </w:t>
      </w:r>
      <w:r xml:space="preserve">
        <w:t> </w:t>
      </w:r>
      <w:r>
        <w:t xml:space="preserve">$5 million of the amount distributed to the fund to the Texas Access to Justice Foundation to be expended only on the order of the Supreme Court of Texas for the purpose of providing basic civil legal services to indigent persons directly impacted by opioid-use disorders, including children who need basic civil legal services as a result of opioid-use disorders by a parent, legal guardian or caretaker;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$10 million of the amount distributed to the fund to the attorney general for the purpose of prevention, education, and drug disposal awareness campaigns to include providing at-home drug disposal kits and abatement tools for children- and youth-focused populations across this state; and</w:t>
      </w:r>
    </w:p>
    <w:p w:rsidR="003F3435" w:rsidRDefault="0032493E">
      <w:pPr>
        <w:spacing w:line="480" w:lineRule="auto"/>
        <w:ind w:firstLine="2160"/>
        <w:jc w:val="both"/>
      </w:pPr>
      <w:r>
        <w:rPr>
          <w:u w:val="single"/>
        </w:rPr>
        <w:t xml:space="preserve">(C)</w:t>
      </w:r>
      <w:r xml:space="preserve">
        <w:t> </w:t>
      </w:r>
      <w:r xml:space="preserve">
        <w:t> </w:t>
      </w:r>
      <w:r>
        <w:t xml:space="preserve">the remainder of that 70 percent to the council.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