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88R19776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975</w:t>
      </w:r>
    </w:p>
    <w:p w:rsidR="003F3435" w:rsidRDefault="0032493E">
      <w:pPr>
        <w:ind w:firstLine="720"/>
        <w:jc w:val="both"/>
      </w:pPr>
      <w:r>
        <w:t xml:space="preserve">(Dorazio, Swanson, Garcia, Bucy, et al.)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975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procedures for the issuance of a personal identification certificate to a person whose driver's license is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521.101(m),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The department shall adopt procedures for the issuance of a personal identification certificate to a person who surrenders the person's driver's license at the time of applying for the certificate.  The procedures: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be in compliance with federal guidelines governing the issuance of identification documents;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require the person issued a personal identification certificate to update information previously provided to the department under Section 521.142;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except as provided by Subdivision (2), may not require a person to provide additional identification documents unless required for compliance with federal guidelines described by Subdivision (1)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require that the person issued a personal identification certificate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notified that the person's voter registration information will need to be updated to include the identification number of the newly issued certificate;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provided an opportunity to update the person's voter registration information at the time of applying for the certificate to include the identification number of the newly issued certificate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975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